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34D5" w14:textId="23CC899D" w:rsidR="00F6449B" w:rsidRPr="008A6D60" w:rsidRDefault="008A6D60" w:rsidP="008A6D60">
      <w:pPr>
        <w:spacing w:after="0" w:line="360" w:lineRule="auto"/>
        <w:jc w:val="center"/>
        <w:rPr>
          <w:rFonts w:ascii="Times New Roman" w:hAnsi="Times New Roman" w:cs="Times New Roman"/>
          <w:b/>
          <w:bCs/>
          <w:sz w:val="28"/>
          <w:szCs w:val="28"/>
        </w:rPr>
      </w:pPr>
      <w:r w:rsidRPr="008A6D60">
        <w:rPr>
          <w:rFonts w:ascii="Times New Roman" w:hAnsi="Times New Roman" w:cs="Times New Roman"/>
          <w:b/>
          <w:bCs/>
          <w:sz w:val="28"/>
          <w:szCs w:val="28"/>
        </w:rPr>
        <w:t xml:space="preserve">INCONTRO </w:t>
      </w:r>
      <w:r w:rsidR="00355C3F" w:rsidRPr="008A6D60">
        <w:rPr>
          <w:rFonts w:ascii="Times New Roman" w:hAnsi="Times New Roman" w:cs="Times New Roman"/>
          <w:b/>
          <w:bCs/>
          <w:sz w:val="28"/>
          <w:szCs w:val="28"/>
        </w:rPr>
        <w:t>AREE INTERNE</w:t>
      </w:r>
    </w:p>
    <w:p w14:paraId="7AC6E266" w14:textId="3C7DE490" w:rsidR="00355C3F" w:rsidRDefault="008A6D60" w:rsidP="008A6D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Benevento, </w:t>
      </w:r>
      <w:r w:rsidR="00355C3F" w:rsidRPr="008A6D60">
        <w:rPr>
          <w:rFonts w:ascii="Times New Roman" w:hAnsi="Times New Roman" w:cs="Times New Roman"/>
          <w:b/>
          <w:bCs/>
          <w:sz w:val="28"/>
          <w:szCs w:val="28"/>
        </w:rPr>
        <w:t>30 e 31 agosto 2021</w:t>
      </w:r>
    </w:p>
    <w:p w14:paraId="4D984CBB" w14:textId="77777777" w:rsidR="00957D7F" w:rsidRDefault="00957D7F" w:rsidP="008A6D60">
      <w:pPr>
        <w:spacing w:after="0" w:line="360" w:lineRule="auto"/>
        <w:jc w:val="center"/>
        <w:rPr>
          <w:rFonts w:ascii="Times New Roman" w:hAnsi="Times New Roman" w:cs="Times New Roman"/>
          <w:b/>
          <w:bCs/>
          <w:sz w:val="28"/>
          <w:szCs w:val="28"/>
        </w:rPr>
      </w:pPr>
    </w:p>
    <w:p w14:paraId="44B643F3" w14:textId="7EFA7C69" w:rsidR="00957D7F" w:rsidRPr="00957D7F" w:rsidRDefault="00957D7F" w:rsidP="008A6D60">
      <w:pPr>
        <w:spacing w:after="0" w:line="360" w:lineRule="auto"/>
        <w:jc w:val="center"/>
        <w:rPr>
          <w:rFonts w:ascii="Times New Roman" w:hAnsi="Times New Roman" w:cs="Times New Roman"/>
          <w:b/>
          <w:bCs/>
          <w:i/>
          <w:iCs/>
          <w:sz w:val="28"/>
          <w:szCs w:val="28"/>
        </w:rPr>
      </w:pPr>
      <w:r w:rsidRPr="00957D7F">
        <w:rPr>
          <w:rFonts w:ascii="Times New Roman" w:hAnsi="Times New Roman" w:cs="Times New Roman"/>
          <w:b/>
          <w:bCs/>
          <w:i/>
          <w:iCs/>
          <w:sz w:val="28"/>
          <w:szCs w:val="28"/>
        </w:rPr>
        <w:t>Prof. Francesco Vespasiano</w:t>
      </w:r>
    </w:p>
    <w:p w14:paraId="26018951" w14:textId="4AE23AB7" w:rsidR="00957D7F" w:rsidRPr="00957D7F" w:rsidRDefault="00957D7F" w:rsidP="008A6D60">
      <w:pPr>
        <w:spacing w:after="0" w:line="360" w:lineRule="auto"/>
        <w:jc w:val="center"/>
        <w:rPr>
          <w:rFonts w:ascii="Times New Roman" w:hAnsi="Times New Roman" w:cs="Times New Roman"/>
          <w:b/>
          <w:bCs/>
          <w:i/>
          <w:iCs/>
          <w:sz w:val="28"/>
          <w:szCs w:val="28"/>
        </w:rPr>
      </w:pPr>
      <w:r w:rsidRPr="00957D7F">
        <w:rPr>
          <w:rFonts w:ascii="Times New Roman" w:hAnsi="Times New Roman" w:cs="Times New Roman"/>
          <w:b/>
          <w:bCs/>
          <w:i/>
          <w:iCs/>
          <w:sz w:val="28"/>
          <w:szCs w:val="28"/>
        </w:rPr>
        <w:t>Università del Sannio</w:t>
      </w:r>
    </w:p>
    <w:p w14:paraId="4D799A41" w14:textId="322E476B" w:rsidR="00355C3F" w:rsidRDefault="00355C3F" w:rsidP="008A6D60">
      <w:pPr>
        <w:spacing w:after="0" w:line="360" w:lineRule="auto"/>
        <w:jc w:val="both"/>
        <w:rPr>
          <w:rFonts w:ascii="Times New Roman" w:hAnsi="Times New Roman" w:cs="Times New Roman"/>
          <w:sz w:val="24"/>
          <w:szCs w:val="24"/>
        </w:rPr>
      </w:pPr>
    </w:p>
    <w:p w14:paraId="3476A71E" w14:textId="77777777" w:rsidR="008A6D60" w:rsidRPr="000D4808" w:rsidRDefault="008A6D60" w:rsidP="008A6D60">
      <w:pPr>
        <w:spacing w:after="0" w:line="360" w:lineRule="auto"/>
        <w:jc w:val="both"/>
        <w:rPr>
          <w:rFonts w:ascii="Times New Roman" w:hAnsi="Times New Roman" w:cs="Times New Roman"/>
          <w:sz w:val="24"/>
          <w:szCs w:val="24"/>
        </w:rPr>
      </w:pPr>
    </w:p>
    <w:p w14:paraId="55207EAB" w14:textId="4237E576" w:rsidR="00B10A7E" w:rsidRPr="000D4808" w:rsidRDefault="00B10A7E" w:rsidP="008A6D60">
      <w:pPr>
        <w:spacing w:after="0" w:line="360" w:lineRule="auto"/>
        <w:jc w:val="both"/>
        <w:rPr>
          <w:rFonts w:ascii="Times New Roman" w:hAnsi="Times New Roman" w:cs="Times New Roman"/>
          <w:sz w:val="24"/>
          <w:szCs w:val="24"/>
        </w:rPr>
      </w:pPr>
      <w:r w:rsidRPr="000D4808">
        <w:rPr>
          <w:rFonts w:ascii="Times New Roman" w:hAnsi="Times New Roman" w:cs="Times New Roman"/>
          <w:sz w:val="24"/>
          <w:szCs w:val="24"/>
        </w:rPr>
        <w:t xml:space="preserve">Le </w:t>
      </w:r>
      <w:r w:rsidR="00355C3F" w:rsidRPr="000D4808">
        <w:rPr>
          <w:rFonts w:ascii="Times New Roman" w:hAnsi="Times New Roman" w:cs="Times New Roman"/>
          <w:sz w:val="24"/>
          <w:szCs w:val="24"/>
        </w:rPr>
        <w:t xml:space="preserve">aree interne </w:t>
      </w:r>
      <w:r w:rsidRPr="000D4808">
        <w:rPr>
          <w:rFonts w:ascii="Times New Roman" w:hAnsi="Times New Roman" w:cs="Times New Roman"/>
          <w:sz w:val="24"/>
          <w:szCs w:val="24"/>
        </w:rPr>
        <w:t>si caratterizzano per la loro distanza dai centri di offerta di servizi essenziali come l’istruzione, la salute e la mobilità.</w:t>
      </w:r>
    </w:p>
    <w:p w14:paraId="61820695" w14:textId="44602F1D" w:rsidR="00485D41" w:rsidRPr="000D4808" w:rsidRDefault="00B10A7E" w:rsidP="00485D41">
      <w:pPr>
        <w:spacing w:after="0" w:line="360" w:lineRule="auto"/>
        <w:jc w:val="both"/>
        <w:rPr>
          <w:rFonts w:ascii="Times New Roman" w:hAnsi="Times New Roman" w:cs="Times New Roman"/>
          <w:sz w:val="24"/>
          <w:szCs w:val="24"/>
        </w:rPr>
      </w:pPr>
      <w:r w:rsidRPr="000D4808">
        <w:rPr>
          <w:rFonts w:ascii="Times New Roman" w:hAnsi="Times New Roman" w:cs="Times New Roman"/>
          <w:sz w:val="24"/>
          <w:szCs w:val="24"/>
        </w:rPr>
        <w:t>Sono luoghi da cui gli uomini e le donne vanno via, perché il vivervi è diventato difficile</w:t>
      </w:r>
      <w:r w:rsidR="00485D41">
        <w:rPr>
          <w:rFonts w:ascii="Times New Roman" w:hAnsi="Times New Roman" w:cs="Times New Roman"/>
          <w:sz w:val="24"/>
          <w:szCs w:val="24"/>
        </w:rPr>
        <w:t xml:space="preserve"> per carenza di servizi essenziali e di occupazione di qualità; sono luoghi che da decenni subiscono una diffusa narrazione collettiva negativa</w:t>
      </w:r>
      <w:r w:rsidR="00485D41" w:rsidRPr="000D4808">
        <w:rPr>
          <w:rFonts w:ascii="Times New Roman" w:hAnsi="Times New Roman" w:cs="Times New Roman"/>
          <w:sz w:val="24"/>
          <w:szCs w:val="24"/>
        </w:rPr>
        <w:t>.</w:t>
      </w:r>
    </w:p>
    <w:p w14:paraId="4DA9C2F9" w14:textId="3B1AFB65" w:rsidR="004B3429" w:rsidRPr="000D4808" w:rsidRDefault="004B3429" w:rsidP="004B3429">
      <w:pPr>
        <w:spacing w:after="0" w:line="360" w:lineRule="auto"/>
        <w:jc w:val="both"/>
        <w:rPr>
          <w:rFonts w:ascii="Times New Roman" w:hAnsi="Times New Roman" w:cs="Times New Roman"/>
          <w:sz w:val="24"/>
          <w:szCs w:val="24"/>
        </w:rPr>
      </w:pPr>
      <w:r w:rsidRPr="000D4808">
        <w:rPr>
          <w:rFonts w:ascii="Times New Roman" w:hAnsi="Times New Roman" w:cs="Times New Roman"/>
          <w:sz w:val="24"/>
          <w:szCs w:val="24"/>
        </w:rPr>
        <w:t xml:space="preserve">Amministrazioni politicamente deboli o tecnicamente incompetenti (qui non si vuole trattare la corruzione, che pure ha avuto e ha un suo peso </w:t>
      </w:r>
      <w:r>
        <w:rPr>
          <w:rFonts w:ascii="Times New Roman" w:hAnsi="Times New Roman" w:cs="Times New Roman"/>
          <w:sz w:val="24"/>
          <w:szCs w:val="24"/>
        </w:rPr>
        <w:t>per</w:t>
      </w:r>
      <w:r w:rsidRPr="000D4808">
        <w:rPr>
          <w:rFonts w:ascii="Times New Roman" w:hAnsi="Times New Roman" w:cs="Times New Roman"/>
          <w:sz w:val="24"/>
          <w:szCs w:val="24"/>
        </w:rPr>
        <w:t xml:space="preserve"> alcune di esse) hanno lasciato </w:t>
      </w:r>
      <w:r w:rsidR="002F59F1">
        <w:rPr>
          <w:rFonts w:ascii="Times New Roman" w:hAnsi="Times New Roman" w:cs="Times New Roman"/>
          <w:sz w:val="24"/>
          <w:szCs w:val="24"/>
        </w:rPr>
        <w:t xml:space="preserve">queste aree </w:t>
      </w:r>
      <w:r w:rsidR="00EE0288">
        <w:rPr>
          <w:rFonts w:ascii="Times New Roman" w:hAnsi="Times New Roman" w:cs="Times New Roman"/>
          <w:sz w:val="24"/>
          <w:szCs w:val="24"/>
        </w:rPr>
        <w:t>all’incuria</w:t>
      </w:r>
      <w:r w:rsidR="002F59F1">
        <w:rPr>
          <w:rFonts w:ascii="Times New Roman" w:hAnsi="Times New Roman" w:cs="Times New Roman"/>
          <w:sz w:val="24"/>
          <w:szCs w:val="24"/>
        </w:rPr>
        <w:t xml:space="preserve">, </w:t>
      </w:r>
      <w:r w:rsidR="00EB0DF2">
        <w:rPr>
          <w:rFonts w:ascii="Times New Roman" w:hAnsi="Times New Roman" w:cs="Times New Roman"/>
          <w:sz w:val="24"/>
          <w:szCs w:val="24"/>
        </w:rPr>
        <w:t xml:space="preserve">alla </w:t>
      </w:r>
      <w:r w:rsidR="002F59F1">
        <w:rPr>
          <w:rFonts w:ascii="Times New Roman" w:hAnsi="Times New Roman" w:cs="Times New Roman"/>
          <w:sz w:val="24"/>
          <w:szCs w:val="24"/>
        </w:rPr>
        <w:t xml:space="preserve">forza </w:t>
      </w:r>
      <w:r w:rsidR="00EB0DF2">
        <w:rPr>
          <w:rFonts w:ascii="Times New Roman" w:hAnsi="Times New Roman" w:cs="Times New Roman"/>
          <w:sz w:val="24"/>
          <w:szCs w:val="24"/>
        </w:rPr>
        <w:t xml:space="preserve">di amministrazioni </w:t>
      </w:r>
      <w:r w:rsidR="002F59F1">
        <w:rPr>
          <w:rFonts w:ascii="Times New Roman" w:hAnsi="Times New Roman" w:cs="Times New Roman"/>
          <w:sz w:val="24"/>
          <w:szCs w:val="24"/>
        </w:rPr>
        <w:t xml:space="preserve">centrali e, in qualche caso, </w:t>
      </w:r>
      <w:r w:rsidR="00EB0DF2">
        <w:rPr>
          <w:rFonts w:ascii="Times New Roman" w:hAnsi="Times New Roman" w:cs="Times New Roman"/>
          <w:sz w:val="24"/>
          <w:szCs w:val="24"/>
        </w:rPr>
        <w:t xml:space="preserve">a </w:t>
      </w:r>
      <w:r w:rsidRPr="000D4808">
        <w:rPr>
          <w:rFonts w:ascii="Times New Roman" w:hAnsi="Times New Roman" w:cs="Times New Roman"/>
          <w:sz w:val="24"/>
          <w:szCs w:val="24"/>
        </w:rPr>
        <w:t xml:space="preserve">speculatori </w:t>
      </w:r>
      <w:r w:rsidR="00EE0288">
        <w:rPr>
          <w:rFonts w:ascii="Times New Roman" w:hAnsi="Times New Roman" w:cs="Times New Roman"/>
          <w:sz w:val="24"/>
          <w:szCs w:val="24"/>
        </w:rPr>
        <w:t>economici</w:t>
      </w:r>
      <w:r w:rsidRPr="000D4808">
        <w:rPr>
          <w:rFonts w:ascii="Times New Roman" w:hAnsi="Times New Roman" w:cs="Times New Roman"/>
          <w:sz w:val="24"/>
          <w:szCs w:val="24"/>
        </w:rPr>
        <w:t>.</w:t>
      </w:r>
      <w:r>
        <w:rPr>
          <w:rFonts w:ascii="Times New Roman" w:hAnsi="Times New Roman" w:cs="Times New Roman"/>
          <w:sz w:val="24"/>
          <w:szCs w:val="24"/>
        </w:rPr>
        <w:t xml:space="preserve"> Ma</w:t>
      </w:r>
      <w:r w:rsidRPr="000D4808">
        <w:rPr>
          <w:rFonts w:ascii="Times New Roman" w:hAnsi="Times New Roman" w:cs="Times New Roman"/>
          <w:sz w:val="24"/>
          <w:szCs w:val="24"/>
        </w:rPr>
        <w:t xml:space="preserve"> amministrazioni competenti e </w:t>
      </w:r>
      <w:r>
        <w:rPr>
          <w:rFonts w:ascii="Times New Roman" w:hAnsi="Times New Roman" w:cs="Times New Roman"/>
          <w:sz w:val="24"/>
          <w:szCs w:val="24"/>
        </w:rPr>
        <w:t xml:space="preserve">politicamente </w:t>
      </w:r>
      <w:r w:rsidRPr="000D4808">
        <w:rPr>
          <w:rFonts w:ascii="Times New Roman" w:hAnsi="Times New Roman" w:cs="Times New Roman"/>
          <w:sz w:val="24"/>
          <w:szCs w:val="24"/>
        </w:rPr>
        <w:t>coraggiose hanno a</w:t>
      </w:r>
      <w:r>
        <w:rPr>
          <w:rFonts w:ascii="Times New Roman" w:hAnsi="Times New Roman" w:cs="Times New Roman"/>
          <w:sz w:val="24"/>
          <w:szCs w:val="24"/>
        </w:rPr>
        <w:t>ttivato</w:t>
      </w:r>
      <w:r w:rsidRPr="000D4808">
        <w:rPr>
          <w:rFonts w:ascii="Times New Roman" w:hAnsi="Times New Roman" w:cs="Times New Roman"/>
          <w:sz w:val="24"/>
          <w:szCs w:val="24"/>
        </w:rPr>
        <w:t xml:space="preserve"> programmi di innovazione che hanno arrestato il degrado </w:t>
      </w:r>
      <w:r>
        <w:rPr>
          <w:rFonts w:ascii="Times New Roman" w:hAnsi="Times New Roman" w:cs="Times New Roman"/>
          <w:sz w:val="24"/>
          <w:szCs w:val="24"/>
        </w:rPr>
        <w:t xml:space="preserve">generale </w:t>
      </w:r>
      <w:r w:rsidRPr="000D4808">
        <w:rPr>
          <w:rFonts w:ascii="Times New Roman" w:hAnsi="Times New Roman" w:cs="Times New Roman"/>
          <w:sz w:val="24"/>
          <w:szCs w:val="24"/>
        </w:rPr>
        <w:t>e l’abbandono della popolazione</w:t>
      </w:r>
      <w:r>
        <w:rPr>
          <w:rFonts w:ascii="Times New Roman" w:hAnsi="Times New Roman" w:cs="Times New Roman"/>
          <w:sz w:val="24"/>
          <w:szCs w:val="24"/>
        </w:rPr>
        <w:t xml:space="preserve">, </w:t>
      </w:r>
      <w:r w:rsidRPr="000D4808">
        <w:rPr>
          <w:rFonts w:ascii="Times New Roman" w:hAnsi="Times New Roman" w:cs="Times New Roman"/>
          <w:sz w:val="24"/>
          <w:szCs w:val="24"/>
        </w:rPr>
        <w:t>genera</w:t>
      </w:r>
      <w:r>
        <w:rPr>
          <w:rFonts w:ascii="Times New Roman" w:hAnsi="Times New Roman" w:cs="Times New Roman"/>
          <w:sz w:val="24"/>
          <w:szCs w:val="24"/>
        </w:rPr>
        <w:t>nd</w:t>
      </w:r>
      <w:r w:rsidRPr="000D4808">
        <w:rPr>
          <w:rFonts w:ascii="Times New Roman" w:hAnsi="Times New Roman" w:cs="Times New Roman"/>
          <w:sz w:val="24"/>
          <w:szCs w:val="24"/>
        </w:rPr>
        <w:t xml:space="preserve">o </w:t>
      </w:r>
      <w:r>
        <w:rPr>
          <w:rFonts w:ascii="Times New Roman" w:hAnsi="Times New Roman" w:cs="Times New Roman"/>
          <w:sz w:val="24"/>
          <w:szCs w:val="24"/>
        </w:rPr>
        <w:t xml:space="preserve">nuove </w:t>
      </w:r>
      <w:r w:rsidRPr="000D4808">
        <w:rPr>
          <w:rFonts w:ascii="Times New Roman" w:hAnsi="Times New Roman" w:cs="Times New Roman"/>
          <w:sz w:val="24"/>
          <w:szCs w:val="24"/>
        </w:rPr>
        <w:t>opportunità di sviluppo locale</w:t>
      </w:r>
      <w:r w:rsidR="00B568DE">
        <w:rPr>
          <w:rFonts w:ascii="Times New Roman" w:hAnsi="Times New Roman" w:cs="Times New Roman"/>
          <w:sz w:val="24"/>
          <w:szCs w:val="24"/>
        </w:rPr>
        <w:t>, valorizzando le risorse umane, culturali e ambientali a loro disposizione.</w:t>
      </w:r>
    </w:p>
    <w:p w14:paraId="07377309" w14:textId="2CD7E7FE" w:rsidR="004B3429" w:rsidRDefault="004B3429" w:rsidP="004B34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Ciò </w:t>
      </w:r>
      <w:r w:rsidR="00765CA4">
        <w:rPr>
          <w:rFonts w:ascii="Times New Roman" w:hAnsi="Times New Roman" w:cs="Times New Roman"/>
          <w:sz w:val="24"/>
          <w:szCs w:val="24"/>
        </w:rPr>
        <w:t xml:space="preserve">vuol dire </w:t>
      </w:r>
      <w:r w:rsidR="00765CA4" w:rsidRPr="002F59F1">
        <w:rPr>
          <w:rFonts w:ascii="Times New Roman" w:hAnsi="Times New Roman" w:cs="Times New Roman"/>
          <w:sz w:val="24"/>
          <w:szCs w:val="24"/>
        </w:rPr>
        <w:t xml:space="preserve">che </w:t>
      </w:r>
      <w:r w:rsidR="00765CA4" w:rsidRPr="002F59F1">
        <w:rPr>
          <w:rFonts w:ascii="Times New Roman" w:hAnsi="Times New Roman" w:cs="Times New Roman"/>
          <w:i/>
          <w:iCs/>
          <w:sz w:val="24"/>
          <w:szCs w:val="24"/>
        </w:rPr>
        <w:t>l</w:t>
      </w:r>
      <w:r w:rsidRPr="002F59F1">
        <w:rPr>
          <w:rFonts w:ascii="Times New Roman" w:hAnsi="Times New Roman" w:cs="Times New Roman"/>
          <w:i/>
          <w:iCs/>
          <w:sz w:val="24"/>
          <w:szCs w:val="24"/>
        </w:rPr>
        <w:t>e aree interne non hanno un destino già scritto</w:t>
      </w:r>
      <w:r>
        <w:rPr>
          <w:rFonts w:ascii="Times New Roman" w:hAnsi="Times New Roman" w:cs="Times New Roman"/>
          <w:sz w:val="24"/>
          <w:szCs w:val="24"/>
        </w:rPr>
        <w:t xml:space="preserve">: quello dell’abbandono e del depauperamento. Il loro destino è nelle mani delle intelligenze territoriali che in esse vivono e </w:t>
      </w:r>
      <w:r w:rsidR="00765CA4">
        <w:rPr>
          <w:rFonts w:ascii="Times New Roman" w:hAnsi="Times New Roman" w:cs="Times New Roman"/>
          <w:sz w:val="24"/>
          <w:szCs w:val="24"/>
        </w:rPr>
        <w:t>d</w:t>
      </w:r>
      <w:r>
        <w:rPr>
          <w:rFonts w:ascii="Times New Roman" w:hAnsi="Times New Roman" w:cs="Times New Roman"/>
          <w:sz w:val="24"/>
          <w:szCs w:val="24"/>
        </w:rPr>
        <w:t>elle competenze di coloro che per esse vogliono impegnarsi.</w:t>
      </w:r>
    </w:p>
    <w:p w14:paraId="1AFEC545" w14:textId="3591AA4F" w:rsidR="00765CA4" w:rsidRDefault="00CB443A" w:rsidP="00765C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Strategia Nazionale per le Aree Interne (SNAI) </w:t>
      </w:r>
      <w:r w:rsidR="00102B7E">
        <w:rPr>
          <w:rFonts w:ascii="Times New Roman" w:hAnsi="Times New Roman" w:cs="Times New Roman"/>
          <w:sz w:val="24"/>
          <w:szCs w:val="24"/>
        </w:rPr>
        <w:t xml:space="preserve">prova ad andare nella direzione del recupero e della </w:t>
      </w:r>
      <w:r w:rsidR="00F87907">
        <w:rPr>
          <w:rFonts w:ascii="Times New Roman" w:hAnsi="Times New Roman" w:cs="Times New Roman"/>
          <w:sz w:val="24"/>
          <w:szCs w:val="24"/>
        </w:rPr>
        <w:t xml:space="preserve">loro </w:t>
      </w:r>
      <w:r w:rsidR="00102B7E">
        <w:rPr>
          <w:rFonts w:ascii="Times New Roman" w:hAnsi="Times New Roman" w:cs="Times New Roman"/>
          <w:sz w:val="24"/>
          <w:szCs w:val="24"/>
        </w:rPr>
        <w:t xml:space="preserve">valorizzazione. </w:t>
      </w:r>
      <w:r w:rsidR="00765CA4">
        <w:rPr>
          <w:rFonts w:ascii="Times New Roman" w:hAnsi="Times New Roman" w:cs="Times New Roman"/>
          <w:sz w:val="24"/>
          <w:szCs w:val="24"/>
        </w:rPr>
        <w:t xml:space="preserve">Potremmo leggere questa particolare attenzione come l’emergere di una consapevolezza nuova, secondo la quale le aree interne vengono individuate come risorse preziose, che meritano una particolare cura per il loro valore in sé e per il diritto che hanno le popolazioni che in esse vivono di essere rispettate </w:t>
      </w:r>
      <w:r w:rsidR="00F87907">
        <w:rPr>
          <w:rFonts w:ascii="Times New Roman" w:hAnsi="Times New Roman" w:cs="Times New Roman"/>
          <w:sz w:val="24"/>
          <w:szCs w:val="24"/>
        </w:rPr>
        <w:t xml:space="preserve">almeno </w:t>
      </w:r>
      <w:r w:rsidR="00765CA4">
        <w:rPr>
          <w:rFonts w:ascii="Times New Roman" w:hAnsi="Times New Roman" w:cs="Times New Roman"/>
          <w:sz w:val="24"/>
          <w:szCs w:val="24"/>
        </w:rPr>
        <w:t>come quelle che vivono in altre aree del territorio italiano.</w:t>
      </w:r>
    </w:p>
    <w:p w14:paraId="4E194FCC" w14:textId="77777777" w:rsidR="00765CA4" w:rsidRDefault="00765CA4" w:rsidP="008A6D60">
      <w:pPr>
        <w:spacing w:after="0" w:line="360" w:lineRule="auto"/>
        <w:jc w:val="both"/>
        <w:rPr>
          <w:rFonts w:ascii="Times New Roman" w:hAnsi="Times New Roman" w:cs="Times New Roman"/>
          <w:sz w:val="24"/>
          <w:szCs w:val="24"/>
        </w:rPr>
      </w:pPr>
    </w:p>
    <w:p w14:paraId="0A6808D9" w14:textId="77777777" w:rsidR="00F87907" w:rsidRDefault="00F8790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529E08EA" w14:textId="303F608F" w:rsidR="00CC19ED" w:rsidRPr="00CC19ED" w:rsidRDefault="00CC19ED" w:rsidP="00765CA4">
      <w:pPr>
        <w:rPr>
          <w:rFonts w:ascii="Times New Roman" w:hAnsi="Times New Roman" w:cs="Times New Roman"/>
          <w:b/>
          <w:bCs/>
          <w:i/>
          <w:iCs/>
          <w:sz w:val="24"/>
          <w:szCs w:val="24"/>
        </w:rPr>
      </w:pPr>
      <w:r w:rsidRPr="00CC19ED">
        <w:rPr>
          <w:rFonts w:ascii="Times New Roman" w:hAnsi="Times New Roman" w:cs="Times New Roman"/>
          <w:b/>
          <w:bCs/>
          <w:i/>
          <w:iCs/>
          <w:sz w:val="24"/>
          <w:szCs w:val="24"/>
        </w:rPr>
        <w:lastRenderedPageBreak/>
        <w:t xml:space="preserve">Cosa </w:t>
      </w:r>
      <w:r w:rsidR="003A01E0">
        <w:rPr>
          <w:rFonts w:ascii="Times New Roman" w:hAnsi="Times New Roman" w:cs="Times New Roman"/>
          <w:b/>
          <w:bCs/>
          <w:i/>
          <w:iCs/>
          <w:sz w:val="24"/>
          <w:szCs w:val="24"/>
        </w:rPr>
        <w:t xml:space="preserve">e dove </w:t>
      </w:r>
      <w:r w:rsidRPr="00CC19ED">
        <w:rPr>
          <w:rFonts w:ascii="Times New Roman" w:hAnsi="Times New Roman" w:cs="Times New Roman"/>
          <w:b/>
          <w:bCs/>
          <w:i/>
          <w:iCs/>
          <w:sz w:val="24"/>
          <w:szCs w:val="24"/>
        </w:rPr>
        <w:t>sono</w:t>
      </w:r>
    </w:p>
    <w:p w14:paraId="140D652C" w14:textId="0FC1E3EC" w:rsidR="0020253F" w:rsidRDefault="00D53DF4" w:rsidP="002025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individuare un’area interna è necessario conoscere la distanza che la separa da un </w:t>
      </w:r>
      <w:r w:rsidR="0018484D">
        <w:rPr>
          <w:rFonts w:ascii="Times New Roman" w:hAnsi="Times New Roman" w:cs="Times New Roman"/>
          <w:sz w:val="24"/>
          <w:szCs w:val="24"/>
        </w:rPr>
        <w:t>P</w:t>
      </w:r>
      <w:r>
        <w:rPr>
          <w:rFonts w:ascii="Times New Roman" w:hAnsi="Times New Roman" w:cs="Times New Roman"/>
          <w:sz w:val="24"/>
          <w:szCs w:val="24"/>
        </w:rPr>
        <w:t>olo</w:t>
      </w:r>
      <w:r w:rsidR="0018484D">
        <w:rPr>
          <w:rFonts w:ascii="Times New Roman" w:hAnsi="Times New Roman" w:cs="Times New Roman"/>
          <w:sz w:val="24"/>
          <w:szCs w:val="24"/>
        </w:rPr>
        <w:t xml:space="preserve"> Urbano</w:t>
      </w:r>
      <w:r w:rsidR="001B6234">
        <w:rPr>
          <w:rFonts w:ascii="Times New Roman" w:hAnsi="Times New Roman" w:cs="Times New Roman"/>
          <w:sz w:val="24"/>
          <w:szCs w:val="24"/>
        </w:rPr>
        <w:t>, ovvero da un Comune che sia Centro di offerta di servizi</w:t>
      </w:r>
      <w:r>
        <w:rPr>
          <w:rFonts w:ascii="Times New Roman" w:hAnsi="Times New Roman" w:cs="Times New Roman"/>
          <w:sz w:val="24"/>
          <w:szCs w:val="24"/>
        </w:rPr>
        <w:t xml:space="preserve">, cioè un Comune che abbia un’offerta scolastica di livello superiore </w:t>
      </w:r>
      <w:r w:rsidR="0020253F">
        <w:rPr>
          <w:rFonts w:ascii="Times New Roman" w:hAnsi="Times New Roman" w:cs="Times New Roman"/>
          <w:sz w:val="24"/>
          <w:szCs w:val="24"/>
        </w:rPr>
        <w:t xml:space="preserve">completa </w:t>
      </w:r>
      <w:r w:rsidR="0020253F" w:rsidRPr="00D53DF4">
        <w:rPr>
          <w:rFonts w:ascii="Times New Roman" w:hAnsi="Times New Roman" w:cs="Times New Roman"/>
          <w:sz w:val="24"/>
          <w:szCs w:val="24"/>
        </w:rPr>
        <w:t>(cioè almeno un liceo, un istituto tecnico e un istituto professionale);</w:t>
      </w:r>
      <w:r w:rsidR="0020253F">
        <w:rPr>
          <w:rFonts w:ascii="Times New Roman" w:hAnsi="Times New Roman" w:cs="Times New Roman"/>
          <w:sz w:val="24"/>
          <w:szCs w:val="24"/>
        </w:rPr>
        <w:t xml:space="preserve"> </w:t>
      </w:r>
      <w:r w:rsidR="0020253F" w:rsidRPr="00D53DF4">
        <w:rPr>
          <w:rFonts w:ascii="Times New Roman" w:hAnsi="Times New Roman" w:cs="Times New Roman"/>
          <w:sz w:val="24"/>
          <w:szCs w:val="24"/>
        </w:rPr>
        <w:t xml:space="preserve">almeno un ospedale sede di </w:t>
      </w:r>
      <w:r w:rsidR="0013188F">
        <w:rPr>
          <w:rFonts w:ascii="Times New Roman" w:hAnsi="Times New Roman" w:cs="Times New Roman"/>
          <w:sz w:val="24"/>
          <w:szCs w:val="24"/>
        </w:rPr>
        <w:t>D</w:t>
      </w:r>
      <w:r w:rsidR="0020253F" w:rsidRPr="00D53DF4">
        <w:rPr>
          <w:rFonts w:ascii="Times New Roman" w:hAnsi="Times New Roman" w:cs="Times New Roman"/>
          <w:sz w:val="24"/>
          <w:szCs w:val="24"/>
        </w:rPr>
        <w:t>.</w:t>
      </w:r>
      <w:r w:rsidR="0013188F">
        <w:rPr>
          <w:rFonts w:ascii="Times New Roman" w:hAnsi="Times New Roman" w:cs="Times New Roman"/>
          <w:sz w:val="24"/>
          <w:szCs w:val="24"/>
        </w:rPr>
        <w:t>E</w:t>
      </w:r>
      <w:r w:rsidR="0020253F" w:rsidRPr="00D53DF4">
        <w:rPr>
          <w:rFonts w:ascii="Times New Roman" w:hAnsi="Times New Roman" w:cs="Times New Roman"/>
          <w:sz w:val="24"/>
          <w:szCs w:val="24"/>
        </w:rPr>
        <w:t>.</w:t>
      </w:r>
      <w:r w:rsidR="0013188F">
        <w:rPr>
          <w:rFonts w:ascii="Times New Roman" w:hAnsi="Times New Roman" w:cs="Times New Roman"/>
          <w:sz w:val="24"/>
          <w:szCs w:val="24"/>
        </w:rPr>
        <w:t>A</w:t>
      </w:r>
      <w:r w:rsidR="0020253F" w:rsidRPr="00D53DF4">
        <w:rPr>
          <w:rFonts w:ascii="Times New Roman" w:hAnsi="Times New Roman" w:cs="Times New Roman"/>
          <w:sz w:val="24"/>
          <w:szCs w:val="24"/>
        </w:rPr>
        <w:t xml:space="preserve">. </w:t>
      </w:r>
      <w:r w:rsidR="0020253F">
        <w:rPr>
          <w:rFonts w:ascii="Times New Roman" w:hAnsi="Times New Roman" w:cs="Times New Roman"/>
          <w:sz w:val="24"/>
          <w:szCs w:val="24"/>
        </w:rPr>
        <w:t xml:space="preserve">di </w:t>
      </w:r>
      <w:r w:rsidR="0013188F">
        <w:rPr>
          <w:rFonts w:ascii="Times New Roman" w:hAnsi="Times New Roman" w:cs="Times New Roman"/>
          <w:sz w:val="24"/>
          <w:szCs w:val="24"/>
        </w:rPr>
        <w:t>primo</w:t>
      </w:r>
      <w:r w:rsidR="0020253F" w:rsidRPr="00D53DF4">
        <w:rPr>
          <w:rFonts w:ascii="Times New Roman" w:hAnsi="Times New Roman" w:cs="Times New Roman"/>
          <w:sz w:val="24"/>
          <w:szCs w:val="24"/>
        </w:rPr>
        <w:t xml:space="preserve"> livello;</w:t>
      </w:r>
      <w:r w:rsidR="0020253F">
        <w:rPr>
          <w:rFonts w:ascii="Times New Roman" w:hAnsi="Times New Roman" w:cs="Times New Roman"/>
          <w:sz w:val="24"/>
          <w:szCs w:val="24"/>
        </w:rPr>
        <w:t xml:space="preserve"> </w:t>
      </w:r>
      <w:r w:rsidR="0020253F" w:rsidRPr="00D53DF4">
        <w:rPr>
          <w:rFonts w:ascii="Times New Roman" w:hAnsi="Times New Roman" w:cs="Times New Roman"/>
          <w:sz w:val="24"/>
          <w:szCs w:val="24"/>
        </w:rPr>
        <w:t>una stazione ferroviaria almeno di tipo silver.</w:t>
      </w:r>
    </w:p>
    <w:p w14:paraId="1B9B3C6E" w14:textId="77777777" w:rsidR="001B6234" w:rsidRDefault="001B6234" w:rsidP="001B6234">
      <w:pPr>
        <w:spacing w:after="0" w:line="240" w:lineRule="auto"/>
        <w:ind w:left="709"/>
        <w:jc w:val="both"/>
        <w:rPr>
          <w:rFonts w:ascii="Times New Roman" w:hAnsi="Times New Roman" w:cs="Times New Roman"/>
          <w:sz w:val="24"/>
          <w:szCs w:val="24"/>
        </w:rPr>
      </w:pPr>
    </w:p>
    <w:p w14:paraId="53F4457F" w14:textId="77777777" w:rsidR="00DA4975" w:rsidRPr="00DA4975" w:rsidRDefault="00DA4975" w:rsidP="00DA4975">
      <w:pPr>
        <w:spacing w:after="0" w:line="360" w:lineRule="auto"/>
        <w:jc w:val="both"/>
        <w:rPr>
          <w:rFonts w:ascii="Times New Roman" w:hAnsi="Times New Roman" w:cs="Times New Roman"/>
          <w:sz w:val="24"/>
          <w:szCs w:val="24"/>
        </w:rPr>
      </w:pPr>
    </w:p>
    <w:p w14:paraId="05F34FCA" w14:textId="7210C76B" w:rsidR="00DA4975" w:rsidRPr="00DA4975" w:rsidRDefault="00DA4975" w:rsidP="00DA4975">
      <w:pPr>
        <w:spacing w:after="0" w:line="240" w:lineRule="auto"/>
        <w:ind w:left="709"/>
        <w:jc w:val="both"/>
        <w:rPr>
          <w:rFonts w:ascii="Times New Roman" w:hAnsi="Times New Roman" w:cs="Times New Roman"/>
        </w:rPr>
      </w:pPr>
      <w:r w:rsidRPr="00DA4975">
        <w:rPr>
          <w:rFonts w:ascii="Times New Roman" w:hAnsi="Times New Roman" w:cs="Times New Roman"/>
        </w:rPr>
        <w:t>L</w:t>
      </w:r>
      <w:r w:rsidR="00DD263F">
        <w:rPr>
          <w:rFonts w:ascii="Times New Roman" w:hAnsi="Times New Roman" w:cs="Times New Roman"/>
        </w:rPr>
        <w:t>’</w:t>
      </w:r>
      <w:r w:rsidRPr="00DD263F">
        <w:rPr>
          <w:rFonts w:ascii="Times New Roman" w:hAnsi="Times New Roman" w:cs="Times New Roman"/>
          <w:i/>
          <w:iCs/>
        </w:rPr>
        <w:t>ospedale sede DEA di I livello</w:t>
      </w:r>
      <w:r w:rsidRPr="00DA4975">
        <w:rPr>
          <w:rFonts w:ascii="Times New Roman" w:hAnsi="Times New Roman" w:cs="Times New Roman"/>
        </w:rPr>
        <w:t xml:space="preserve"> rappresenta un’aggregazione funzionale di unità operative che, oltre alle</w:t>
      </w:r>
      <w:r>
        <w:rPr>
          <w:rFonts w:ascii="Times New Roman" w:hAnsi="Times New Roman" w:cs="Times New Roman"/>
        </w:rPr>
        <w:t xml:space="preserve"> </w:t>
      </w:r>
      <w:r w:rsidRPr="00DA4975">
        <w:rPr>
          <w:rFonts w:ascii="Times New Roman" w:hAnsi="Times New Roman" w:cs="Times New Roman"/>
        </w:rPr>
        <w:t>prestazioni fornite dal Pronto Soccorso, garantisce le funzioni di osservazione, breve degenza e di rianimazione e</w:t>
      </w:r>
      <w:r>
        <w:rPr>
          <w:rFonts w:ascii="Times New Roman" w:hAnsi="Times New Roman" w:cs="Times New Roman"/>
        </w:rPr>
        <w:t xml:space="preserve"> </w:t>
      </w:r>
      <w:r w:rsidRPr="00DA4975">
        <w:rPr>
          <w:rFonts w:ascii="Times New Roman" w:hAnsi="Times New Roman" w:cs="Times New Roman"/>
        </w:rPr>
        <w:t>realizza interventi diagnostico-terapeutici di medicina generale, chirurgia generale, ortopedia e traumatologia,</w:t>
      </w:r>
      <w:r>
        <w:rPr>
          <w:rFonts w:ascii="Times New Roman" w:hAnsi="Times New Roman" w:cs="Times New Roman"/>
        </w:rPr>
        <w:t xml:space="preserve"> </w:t>
      </w:r>
      <w:r w:rsidRPr="00DA4975">
        <w:rPr>
          <w:rFonts w:ascii="Times New Roman" w:hAnsi="Times New Roman" w:cs="Times New Roman"/>
        </w:rPr>
        <w:t>terapia intensiva di cardiologia. Inoltre</w:t>
      </w:r>
      <w:r>
        <w:rPr>
          <w:rFonts w:ascii="Times New Roman" w:hAnsi="Times New Roman" w:cs="Times New Roman"/>
        </w:rPr>
        <w:t xml:space="preserve">, </w:t>
      </w:r>
      <w:r w:rsidRPr="00DA4975">
        <w:rPr>
          <w:rFonts w:ascii="Times New Roman" w:hAnsi="Times New Roman" w:cs="Times New Roman"/>
        </w:rPr>
        <w:t>assicura le prestazioni di laboratorio di analisi chimico-cliniche e</w:t>
      </w:r>
      <w:r>
        <w:rPr>
          <w:rFonts w:ascii="Times New Roman" w:hAnsi="Times New Roman" w:cs="Times New Roman"/>
        </w:rPr>
        <w:t xml:space="preserve"> </w:t>
      </w:r>
      <w:r w:rsidRPr="00DA4975">
        <w:rPr>
          <w:rFonts w:ascii="Times New Roman" w:hAnsi="Times New Roman" w:cs="Times New Roman"/>
        </w:rPr>
        <w:t>microbiologiche, di diagnostica per immagini, e trasfusionali.</w:t>
      </w:r>
    </w:p>
    <w:p w14:paraId="62489C6C" w14:textId="29308205" w:rsidR="00DA4975" w:rsidRPr="00DA4975" w:rsidRDefault="00DA4975" w:rsidP="00DA4975">
      <w:pPr>
        <w:spacing w:after="0" w:line="240" w:lineRule="auto"/>
        <w:ind w:left="709"/>
        <w:jc w:val="both"/>
        <w:rPr>
          <w:rFonts w:ascii="Times New Roman" w:hAnsi="Times New Roman" w:cs="Times New Roman"/>
        </w:rPr>
      </w:pPr>
    </w:p>
    <w:p w14:paraId="09C921F5" w14:textId="10BA72F2" w:rsidR="001B6234" w:rsidRDefault="00DD263F" w:rsidP="00DA4975">
      <w:pPr>
        <w:spacing w:after="0" w:line="240" w:lineRule="auto"/>
        <w:ind w:left="709"/>
        <w:jc w:val="both"/>
        <w:rPr>
          <w:rFonts w:ascii="Times New Roman" w:hAnsi="Times New Roman" w:cs="Times New Roman"/>
        </w:rPr>
      </w:pPr>
      <w:r>
        <w:rPr>
          <w:rFonts w:ascii="Times New Roman" w:hAnsi="Times New Roman" w:cs="Times New Roman"/>
        </w:rPr>
        <w:t xml:space="preserve">La rete ferroviaria italiana (RFI) </w:t>
      </w:r>
      <w:r w:rsidR="00DA4975" w:rsidRPr="00DA4975">
        <w:rPr>
          <w:rFonts w:ascii="Times New Roman" w:hAnsi="Times New Roman" w:cs="Times New Roman"/>
        </w:rPr>
        <w:t xml:space="preserve">classifica le stazioni in: </w:t>
      </w:r>
      <w:r w:rsidR="00DA4975" w:rsidRPr="00DD263F">
        <w:rPr>
          <w:rFonts w:ascii="Times New Roman" w:hAnsi="Times New Roman" w:cs="Times New Roman"/>
          <w:i/>
          <w:iCs/>
        </w:rPr>
        <w:t>P</w:t>
      </w:r>
      <w:r w:rsidRPr="00DD263F">
        <w:rPr>
          <w:rFonts w:ascii="Times New Roman" w:hAnsi="Times New Roman" w:cs="Times New Roman"/>
          <w:i/>
          <w:iCs/>
        </w:rPr>
        <w:t>latinum</w:t>
      </w:r>
      <w:r w:rsidR="00DA4975" w:rsidRPr="00DA4975">
        <w:rPr>
          <w:rFonts w:ascii="Times New Roman" w:hAnsi="Times New Roman" w:cs="Times New Roman"/>
        </w:rPr>
        <w:t xml:space="preserve"> (13 grandi impianti):in questa classe rientrano le stazioni caratterizzate da</w:t>
      </w:r>
      <w:r w:rsidR="00DA4975">
        <w:rPr>
          <w:rFonts w:ascii="Times New Roman" w:hAnsi="Times New Roman" w:cs="Times New Roman"/>
        </w:rPr>
        <w:t xml:space="preserve"> </w:t>
      </w:r>
      <w:r w:rsidR="00DA4975" w:rsidRPr="00DA4975">
        <w:rPr>
          <w:rFonts w:ascii="Times New Roman" w:hAnsi="Times New Roman" w:cs="Times New Roman"/>
        </w:rPr>
        <w:t>una frequentazione superiore ai 6.000 viaggiatori medi/giorno ed un alto numero di treni medi/giorno con elevata</w:t>
      </w:r>
      <w:r w:rsidR="00DA4975">
        <w:rPr>
          <w:rFonts w:ascii="Times New Roman" w:hAnsi="Times New Roman" w:cs="Times New Roman"/>
        </w:rPr>
        <w:t xml:space="preserve"> </w:t>
      </w:r>
      <w:r w:rsidR="00DA4975" w:rsidRPr="00DA4975">
        <w:rPr>
          <w:rFonts w:ascii="Times New Roman" w:hAnsi="Times New Roman" w:cs="Times New Roman"/>
        </w:rPr>
        <w:t>incidenza di treni di qualità. La città sede di questi impianti ha importanza dal punto di vista turistico, culturale,</w:t>
      </w:r>
      <w:r w:rsidR="0018484D">
        <w:rPr>
          <w:rFonts w:ascii="Times New Roman" w:hAnsi="Times New Roman" w:cs="Times New Roman"/>
        </w:rPr>
        <w:t xml:space="preserve"> </w:t>
      </w:r>
      <w:r w:rsidR="00DA4975" w:rsidRPr="00DA4975">
        <w:rPr>
          <w:rFonts w:ascii="Times New Roman" w:hAnsi="Times New Roman" w:cs="Times New Roman"/>
        </w:rPr>
        <w:t xml:space="preserve">istituzionale e architettonico; presenta, inoltre, un’elevata potenzialità commerciale; </w:t>
      </w:r>
      <w:r w:rsidR="00DA4975" w:rsidRPr="00DD263F">
        <w:rPr>
          <w:rFonts w:ascii="Times New Roman" w:hAnsi="Times New Roman" w:cs="Times New Roman"/>
          <w:i/>
          <w:iCs/>
        </w:rPr>
        <w:t>G</w:t>
      </w:r>
      <w:r w:rsidRPr="00DD263F">
        <w:rPr>
          <w:rFonts w:ascii="Times New Roman" w:hAnsi="Times New Roman" w:cs="Times New Roman"/>
          <w:i/>
          <w:iCs/>
        </w:rPr>
        <w:t>old</w:t>
      </w:r>
      <w:r w:rsidR="00DA4975" w:rsidRPr="00DA4975">
        <w:rPr>
          <w:rFonts w:ascii="Times New Roman" w:hAnsi="Times New Roman" w:cs="Times New Roman"/>
        </w:rPr>
        <w:t xml:space="preserve"> (103 impianti medio</w:t>
      </w:r>
      <w:r w:rsidR="0018484D">
        <w:rPr>
          <w:rFonts w:ascii="Times New Roman" w:hAnsi="Times New Roman" w:cs="Times New Roman"/>
        </w:rPr>
        <w:t>-</w:t>
      </w:r>
      <w:r w:rsidR="00DA4975" w:rsidRPr="00DA4975">
        <w:rPr>
          <w:rFonts w:ascii="Times New Roman" w:hAnsi="Times New Roman" w:cs="Times New Roman"/>
        </w:rPr>
        <w:t>grandi): sono compresi gli impianti medio-grandi che presentano una frequentazione abbastanza alta, con una</w:t>
      </w:r>
      <w:r w:rsidR="0018484D">
        <w:rPr>
          <w:rFonts w:ascii="Times New Roman" w:hAnsi="Times New Roman" w:cs="Times New Roman"/>
        </w:rPr>
        <w:t xml:space="preserve"> </w:t>
      </w:r>
      <w:r w:rsidR="00DA4975" w:rsidRPr="00DA4975">
        <w:rPr>
          <w:rFonts w:ascii="Times New Roman" w:hAnsi="Times New Roman" w:cs="Times New Roman"/>
        </w:rPr>
        <w:t>offerta trasportistica significativa sia locale che di qualità. Le località servite da questi impianti rivestono un certo</w:t>
      </w:r>
      <w:r w:rsidR="0018484D">
        <w:rPr>
          <w:rFonts w:ascii="Times New Roman" w:hAnsi="Times New Roman" w:cs="Times New Roman"/>
        </w:rPr>
        <w:t xml:space="preserve"> </w:t>
      </w:r>
      <w:r w:rsidR="00DA4975" w:rsidRPr="00DA4975">
        <w:rPr>
          <w:rFonts w:ascii="Times New Roman" w:hAnsi="Times New Roman" w:cs="Times New Roman"/>
        </w:rPr>
        <w:t>interesse sotto l’aspetto turistico, culturale, istituzionale ed architettonico. Commercialmente sono realtà con una</w:t>
      </w:r>
      <w:r w:rsidR="0018484D">
        <w:rPr>
          <w:rFonts w:ascii="Times New Roman" w:hAnsi="Times New Roman" w:cs="Times New Roman"/>
        </w:rPr>
        <w:t xml:space="preserve"> </w:t>
      </w:r>
      <w:r w:rsidR="00DA4975" w:rsidRPr="00DA4975">
        <w:rPr>
          <w:rFonts w:ascii="Times New Roman" w:hAnsi="Times New Roman" w:cs="Times New Roman"/>
        </w:rPr>
        <w:t xml:space="preserve">buona potenzialità; </w:t>
      </w:r>
      <w:r w:rsidR="00DA4975" w:rsidRPr="00DD263F">
        <w:rPr>
          <w:rFonts w:ascii="Times New Roman" w:hAnsi="Times New Roman" w:cs="Times New Roman"/>
          <w:i/>
          <w:iCs/>
        </w:rPr>
        <w:t>S</w:t>
      </w:r>
      <w:r w:rsidRPr="00DD263F">
        <w:rPr>
          <w:rFonts w:ascii="Times New Roman" w:hAnsi="Times New Roman" w:cs="Times New Roman"/>
          <w:i/>
          <w:iCs/>
        </w:rPr>
        <w:t>ilver</w:t>
      </w:r>
      <w:r w:rsidR="00DA4975" w:rsidRPr="00DA4975">
        <w:rPr>
          <w:rFonts w:ascii="Times New Roman" w:hAnsi="Times New Roman" w:cs="Times New Roman"/>
        </w:rPr>
        <w:t xml:space="preserve"> (impianti medio-piccoli), sono inclusi tutti gli altri impianti medio-piccoli con una</w:t>
      </w:r>
      <w:r w:rsidR="0018484D">
        <w:rPr>
          <w:rFonts w:ascii="Times New Roman" w:hAnsi="Times New Roman" w:cs="Times New Roman"/>
        </w:rPr>
        <w:t xml:space="preserve"> </w:t>
      </w:r>
      <w:r w:rsidR="00DA4975" w:rsidRPr="00DA4975">
        <w:rPr>
          <w:rFonts w:ascii="Times New Roman" w:hAnsi="Times New Roman" w:cs="Times New Roman"/>
        </w:rPr>
        <w:t>frequentazione media per servizi metropolitani-regionali e di lunga percorrenza inferiore a quella delle G</w:t>
      </w:r>
      <w:r>
        <w:rPr>
          <w:rFonts w:ascii="Times New Roman" w:hAnsi="Times New Roman" w:cs="Times New Roman"/>
        </w:rPr>
        <w:t>old</w:t>
      </w:r>
      <w:r w:rsidR="00DA4975" w:rsidRPr="00DA4975">
        <w:rPr>
          <w:rFonts w:ascii="Times New Roman" w:hAnsi="Times New Roman" w:cs="Times New Roman"/>
        </w:rPr>
        <w:t>;</w:t>
      </w:r>
      <w:r w:rsidR="0018484D">
        <w:rPr>
          <w:rFonts w:ascii="Times New Roman" w:hAnsi="Times New Roman" w:cs="Times New Roman"/>
        </w:rPr>
        <w:t xml:space="preserve"> </w:t>
      </w:r>
      <w:proofErr w:type="spellStart"/>
      <w:r w:rsidR="00DA4975" w:rsidRPr="00DD263F">
        <w:rPr>
          <w:rFonts w:ascii="Times New Roman" w:hAnsi="Times New Roman" w:cs="Times New Roman"/>
          <w:i/>
          <w:iCs/>
        </w:rPr>
        <w:t>B</w:t>
      </w:r>
      <w:r w:rsidRPr="00DD263F">
        <w:rPr>
          <w:rFonts w:ascii="Times New Roman" w:hAnsi="Times New Roman" w:cs="Times New Roman"/>
          <w:i/>
          <w:iCs/>
        </w:rPr>
        <w:t>ronze</w:t>
      </w:r>
      <w:proofErr w:type="spellEnd"/>
      <w:r w:rsidR="00DA4975" w:rsidRPr="00DA4975">
        <w:rPr>
          <w:rFonts w:ascii="Times New Roman" w:hAnsi="Times New Roman" w:cs="Times New Roman"/>
        </w:rPr>
        <w:t xml:space="preserve"> (impianti piccoli con bassa frequentazione). Sono inclusi in questa categoria impianti piccoli con una bassa</w:t>
      </w:r>
      <w:r w:rsidR="0018484D">
        <w:rPr>
          <w:rFonts w:ascii="Times New Roman" w:hAnsi="Times New Roman" w:cs="Times New Roman"/>
        </w:rPr>
        <w:t xml:space="preserve"> </w:t>
      </w:r>
      <w:r w:rsidR="00DA4975" w:rsidRPr="00DA4975">
        <w:rPr>
          <w:rFonts w:ascii="Times New Roman" w:hAnsi="Times New Roman" w:cs="Times New Roman"/>
        </w:rPr>
        <w:t>frequentazione che svolgono servizi regionali.</w:t>
      </w:r>
    </w:p>
    <w:p w14:paraId="052CF0D0" w14:textId="768F284C" w:rsidR="0018484D" w:rsidRPr="00DA4975" w:rsidRDefault="0018484D" w:rsidP="0018484D">
      <w:pPr>
        <w:spacing w:after="0" w:line="240" w:lineRule="auto"/>
        <w:ind w:left="709"/>
        <w:jc w:val="right"/>
        <w:rPr>
          <w:rFonts w:ascii="Times New Roman" w:hAnsi="Times New Roman" w:cs="Times New Roman"/>
        </w:rPr>
      </w:pPr>
      <w:r>
        <w:rPr>
          <w:rFonts w:ascii="Times New Roman" w:hAnsi="Times New Roman" w:cs="Times New Roman"/>
        </w:rPr>
        <w:t xml:space="preserve">(Fonte: Dipartimento per lo Sviluppo e la Coesione Sociale; </w:t>
      </w:r>
      <w:hyperlink r:id="rId6" w:history="1">
        <w:r w:rsidRPr="0078613E">
          <w:rPr>
            <w:rStyle w:val="Collegamentoipertestuale"/>
            <w:rFonts w:ascii="Times New Roman" w:hAnsi="Times New Roman" w:cs="Times New Roman"/>
          </w:rPr>
          <w:t>https://www.agenziacoesione.gov.it/wp-content/uploads/2021/01/Nota_metodologica_Aree_interne-2-1.pdf</w:t>
        </w:r>
      </w:hyperlink>
      <w:r>
        <w:rPr>
          <w:rFonts w:ascii="Times New Roman" w:hAnsi="Times New Roman" w:cs="Times New Roman"/>
        </w:rPr>
        <w:t>)</w:t>
      </w:r>
    </w:p>
    <w:p w14:paraId="46CBEFE2" w14:textId="77777777" w:rsidR="00DA4975" w:rsidRDefault="00DA4975" w:rsidP="00DA4975">
      <w:pPr>
        <w:spacing w:after="0" w:line="360" w:lineRule="auto"/>
        <w:jc w:val="both"/>
        <w:rPr>
          <w:rFonts w:ascii="Times New Roman" w:hAnsi="Times New Roman" w:cs="Times New Roman"/>
          <w:sz w:val="24"/>
          <w:szCs w:val="24"/>
        </w:rPr>
      </w:pPr>
    </w:p>
    <w:p w14:paraId="1DA8D808" w14:textId="77777777" w:rsidR="00957D7F" w:rsidRDefault="00957D7F" w:rsidP="0020253F">
      <w:pPr>
        <w:spacing w:after="0" w:line="360" w:lineRule="auto"/>
        <w:jc w:val="both"/>
        <w:rPr>
          <w:rFonts w:ascii="Times New Roman" w:hAnsi="Times New Roman" w:cs="Times New Roman"/>
          <w:sz w:val="24"/>
          <w:szCs w:val="24"/>
        </w:rPr>
      </w:pPr>
    </w:p>
    <w:p w14:paraId="60EEFA96" w14:textId="1EEDA392" w:rsidR="0020253F" w:rsidRDefault="0020253F" w:rsidP="0020253F">
      <w:pPr>
        <w:spacing w:after="0" w:line="360" w:lineRule="auto"/>
        <w:jc w:val="both"/>
        <w:rPr>
          <w:rFonts w:ascii="Times New Roman" w:hAnsi="Times New Roman" w:cs="Times New Roman"/>
          <w:sz w:val="24"/>
          <w:szCs w:val="24"/>
        </w:rPr>
      </w:pPr>
      <w:r w:rsidRPr="00D53DF4">
        <w:rPr>
          <w:rFonts w:ascii="Times New Roman" w:hAnsi="Times New Roman" w:cs="Times New Roman"/>
          <w:sz w:val="24"/>
          <w:szCs w:val="24"/>
        </w:rPr>
        <w:t xml:space="preserve">I </w:t>
      </w:r>
      <w:r w:rsidR="0018484D">
        <w:rPr>
          <w:rFonts w:ascii="Times New Roman" w:hAnsi="Times New Roman" w:cs="Times New Roman"/>
          <w:sz w:val="24"/>
          <w:szCs w:val="24"/>
        </w:rPr>
        <w:t>C</w:t>
      </w:r>
      <w:r w:rsidRPr="00D53DF4">
        <w:rPr>
          <w:rFonts w:ascii="Times New Roman" w:hAnsi="Times New Roman" w:cs="Times New Roman"/>
          <w:sz w:val="24"/>
          <w:szCs w:val="24"/>
        </w:rPr>
        <w:t xml:space="preserve">omuni che distano meno di 20 minuti dal polo più vicino si definiscono </w:t>
      </w:r>
      <w:r w:rsidRPr="0018484D">
        <w:rPr>
          <w:rFonts w:ascii="Times New Roman" w:hAnsi="Times New Roman" w:cs="Times New Roman"/>
          <w:i/>
          <w:iCs/>
          <w:sz w:val="24"/>
          <w:szCs w:val="24"/>
        </w:rPr>
        <w:t>cintura</w:t>
      </w:r>
      <w:r w:rsidR="0018484D">
        <w:rPr>
          <w:rFonts w:ascii="Times New Roman" w:hAnsi="Times New Roman" w:cs="Times New Roman"/>
          <w:sz w:val="24"/>
          <w:szCs w:val="24"/>
        </w:rPr>
        <w:t xml:space="preserve"> o </w:t>
      </w:r>
      <w:r w:rsidR="0018484D" w:rsidRPr="0018484D">
        <w:rPr>
          <w:rFonts w:ascii="Times New Roman" w:hAnsi="Times New Roman" w:cs="Times New Roman"/>
          <w:i/>
          <w:iCs/>
          <w:sz w:val="24"/>
          <w:szCs w:val="24"/>
        </w:rPr>
        <w:t>aree periurbane</w:t>
      </w:r>
      <w:r w:rsidRPr="00D53DF4">
        <w:rPr>
          <w:rFonts w:ascii="Times New Roman" w:hAnsi="Times New Roman" w:cs="Times New Roman"/>
          <w:sz w:val="24"/>
          <w:szCs w:val="24"/>
        </w:rPr>
        <w:t xml:space="preserve">; quelli che distano oltre 20 minuti rientrano nelle </w:t>
      </w:r>
      <w:r w:rsidRPr="00F87907">
        <w:rPr>
          <w:rFonts w:ascii="Times New Roman" w:hAnsi="Times New Roman" w:cs="Times New Roman"/>
          <w:i/>
          <w:iCs/>
          <w:sz w:val="24"/>
          <w:szCs w:val="24"/>
        </w:rPr>
        <w:t>aree interne</w:t>
      </w:r>
      <w:r w:rsidRPr="00D53DF4">
        <w:rPr>
          <w:rFonts w:ascii="Times New Roman" w:hAnsi="Times New Roman" w:cs="Times New Roman"/>
          <w:sz w:val="24"/>
          <w:szCs w:val="24"/>
        </w:rPr>
        <w:t xml:space="preserve">. Le aree interne si suddividono a loro volta in </w:t>
      </w:r>
      <w:r>
        <w:rPr>
          <w:rFonts w:ascii="Times New Roman" w:hAnsi="Times New Roman" w:cs="Times New Roman"/>
          <w:sz w:val="24"/>
          <w:szCs w:val="24"/>
        </w:rPr>
        <w:t xml:space="preserve">tre </w:t>
      </w:r>
      <w:r w:rsidRPr="00D53DF4">
        <w:rPr>
          <w:rFonts w:ascii="Times New Roman" w:hAnsi="Times New Roman" w:cs="Times New Roman"/>
          <w:sz w:val="24"/>
          <w:szCs w:val="24"/>
        </w:rPr>
        <w:t xml:space="preserve">categorie, sempre in base alla distanza dal polo: </w:t>
      </w:r>
      <w:r w:rsidR="0018484D" w:rsidRPr="00F87907">
        <w:rPr>
          <w:rFonts w:ascii="Times New Roman" w:hAnsi="Times New Roman" w:cs="Times New Roman"/>
          <w:i/>
          <w:iCs/>
          <w:sz w:val="24"/>
          <w:szCs w:val="24"/>
        </w:rPr>
        <w:t xml:space="preserve">aree </w:t>
      </w:r>
      <w:r w:rsidRPr="00F87907">
        <w:rPr>
          <w:rFonts w:ascii="Times New Roman" w:hAnsi="Times New Roman" w:cs="Times New Roman"/>
          <w:i/>
          <w:iCs/>
          <w:sz w:val="24"/>
          <w:szCs w:val="24"/>
        </w:rPr>
        <w:t>intermedi</w:t>
      </w:r>
      <w:r w:rsidR="0018484D" w:rsidRPr="00F87907">
        <w:rPr>
          <w:rFonts w:ascii="Times New Roman" w:hAnsi="Times New Roman" w:cs="Times New Roman"/>
          <w:i/>
          <w:iCs/>
          <w:sz w:val="24"/>
          <w:szCs w:val="24"/>
        </w:rPr>
        <w:t>e</w:t>
      </w:r>
      <w:r w:rsidR="00017360">
        <w:rPr>
          <w:rFonts w:ascii="Times New Roman" w:hAnsi="Times New Roman" w:cs="Times New Roman"/>
          <w:sz w:val="24"/>
          <w:szCs w:val="24"/>
        </w:rPr>
        <w:t xml:space="preserve"> (tra 20 e 40 minuti</w:t>
      </w:r>
      <w:r w:rsidR="00017360" w:rsidRPr="00F87907">
        <w:rPr>
          <w:rFonts w:ascii="Times New Roman" w:hAnsi="Times New Roman" w:cs="Times New Roman"/>
          <w:i/>
          <w:iCs/>
          <w:sz w:val="24"/>
          <w:szCs w:val="24"/>
        </w:rPr>
        <w:t>)</w:t>
      </w:r>
      <w:r w:rsidRPr="00F87907">
        <w:rPr>
          <w:rFonts w:ascii="Times New Roman" w:hAnsi="Times New Roman" w:cs="Times New Roman"/>
          <w:i/>
          <w:iCs/>
          <w:sz w:val="24"/>
          <w:szCs w:val="24"/>
        </w:rPr>
        <w:t xml:space="preserve">, </w:t>
      </w:r>
      <w:r w:rsidR="0018484D" w:rsidRPr="00F87907">
        <w:rPr>
          <w:rFonts w:ascii="Times New Roman" w:hAnsi="Times New Roman" w:cs="Times New Roman"/>
          <w:i/>
          <w:iCs/>
          <w:sz w:val="24"/>
          <w:szCs w:val="24"/>
        </w:rPr>
        <w:t>aree</w:t>
      </w:r>
      <w:r w:rsidRPr="00F87907">
        <w:rPr>
          <w:rFonts w:ascii="Times New Roman" w:hAnsi="Times New Roman" w:cs="Times New Roman"/>
          <w:i/>
          <w:iCs/>
          <w:sz w:val="24"/>
          <w:szCs w:val="24"/>
        </w:rPr>
        <w:t xml:space="preserve"> periferic</w:t>
      </w:r>
      <w:r w:rsidR="0018484D" w:rsidRPr="00F87907">
        <w:rPr>
          <w:rFonts w:ascii="Times New Roman" w:hAnsi="Times New Roman" w:cs="Times New Roman"/>
          <w:i/>
          <w:iCs/>
          <w:sz w:val="24"/>
          <w:szCs w:val="24"/>
        </w:rPr>
        <w:t>he</w:t>
      </w:r>
      <w:r>
        <w:rPr>
          <w:rFonts w:ascii="Times New Roman" w:hAnsi="Times New Roman" w:cs="Times New Roman"/>
          <w:sz w:val="24"/>
          <w:szCs w:val="24"/>
        </w:rPr>
        <w:t xml:space="preserve"> </w:t>
      </w:r>
      <w:r w:rsidR="00017360">
        <w:rPr>
          <w:rFonts w:ascii="Times New Roman" w:hAnsi="Times New Roman" w:cs="Times New Roman"/>
          <w:sz w:val="24"/>
          <w:szCs w:val="24"/>
        </w:rPr>
        <w:t xml:space="preserve">(tra 40 e 75 minuti) </w:t>
      </w:r>
      <w:r>
        <w:rPr>
          <w:rFonts w:ascii="Times New Roman" w:hAnsi="Times New Roman" w:cs="Times New Roman"/>
          <w:sz w:val="24"/>
          <w:szCs w:val="24"/>
        </w:rPr>
        <w:t>e</w:t>
      </w:r>
      <w:r w:rsidRPr="00D53DF4">
        <w:rPr>
          <w:rFonts w:ascii="Times New Roman" w:hAnsi="Times New Roman" w:cs="Times New Roman"/>
          <w:sz w:val="24"/>
          <w:szCs w:val="24"/>
        </w:rPr>
        <w:t xml:space="preserve"> </w:t>
      </w:r>
      <w:r w:rsidR="0018484D" w:rsidRPr="00F87907">
        <w:rPr>
          <w:rFonts w:ascii="Times New Roman" w:hAnsi="Times New Roman" w:cs="Times New Roman"/>
          <w:i/>
          <w:iCs/>
          <w:sz w:val="24"/>
          <w:szCs w:val="24"/>
        </w:rPr>
        <w:t xml:space="preserve">aree </w:t>
      </w:r>
      <w:r w:rsidRPr="00F87907">
        <w:rPr>
          <w:rFonts w:ascii="Times New Roman" w:hAnsi="Times New Roman" w:cs="Times New Roman"/>
          <w:i/>
          <w:iCs/>
          <w:sz w:val="24"/>
          <w:szCs w:val="24"/>
        </w:rPr>
        <w:t>ultra-periferic</w:t>
      </w:r>
      <w:r w:rsidR="0018484D" w:rsidRPr="00F87907">
        <w:rPr>
          <w:rFonts w:ascii="Times New Roman" w:hAnsi="Times New Roman" w:cs="Times New Roman"/>
          <w:i/>
          <w:iCs/>
          <w:sz w:val="24"/>
          <w:szCs w:val="24"/>
        </w:rPr>
        <w:t>he</w:t>
      </w:r>
      <w:r w:rsidR="0018484D">
        <w:rPr>
          <w:rFonts w:ascii="Times New Roman" w:hAnsi="Times New Roman" w:cs="Times New Roman"/>
          <w:sz w:val="24"/>
          <w:szCs w:val="24"/>
        </w:rPr>
        <w:t xml:space="preserve"> (</w:t>
      </w:r>
      <w:r w:rsidR="00017360">
        <w:rPr>
          <w:rFonts w:ascii="Times New Roman" w:hAnsi="Times New Roman" w:cs="Times New Roman"/>
          <w:sz w:val="24"/>
          <w:szCs w:val="24"/>
        </w:rPr>
        <w:t>oltre 75 minuti</w:t>
      </w:r>
      <w:r w:rsidR="0018484D">
        <w:rPr>
          <w:rFonts w:ascii="Times New Roman" w:hAnsi="Times New Roman" w:cs="Times New Roman"/>
          <w:sz w:val="24"/>
          <w:szCs w:val="24"/>
        </w:rPr>
        <w:t>)</w:t>
      </w:r>
      <w:r w:rsidRPr="00D53DF4">
        <w:rPr>
          <w:rFonts w:ascii="Times New Roman" w:hAnsi="Times New Roman" w:cs="Times New Roman"/>
          <w:sz w:val="24"/>
          <w:szCs w:val="24"/>
        </w:rPr>
        <w:t>.</w:t>
      </w:r>
    </w:p>
    <w:p w14:paraId="19349EFE" w14:textId="6F735DD8" w:rsidR="009F3E4C" w:rsidRDefault="001B6234" w:rsidP="008A6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termini sintetici, un’</w:t>
      </w:r>
      <w:r w:rsidR="009F3E4C">
        <w:rPr>
          <w:rFonts w:ascii="Times New Roman" w:hAnsi="Times New Roman" w:cs="Times New Roman"/>
          <w:sz w:val="24"/>
          <w:szCs w:val="24"/>
        </w:rPr>
        <w:t xml:space="preserve">area interna è </w:t>
      </w:r>
      <w:r>
        <w:rPr>
          <w:rFonts w:ascii="Times New Roman" w:hAnsi="Times New Roman" w:cs="Times New Roman"/>
          <w:sz w:val="24"/>
          <w:szCs w:val="24"/>
        </w:rPr>
        <w:t xml:space="preserve">un’area distante </w:t>
      </w:r>
      <w:r w:rsidR="00017360">
        <w:rPr>
          <w:rFonts w:ascii="Times New Roman" w:hAnsi="Times New Roman" w:cs="Times New Roman"/>
          <w:sz w:val="24"/>
          <w:szCs w:val="24"/>
        </w:rPr>
        <w:t xml:space="preserve">o molto distante </w:t>
      </w:r>
      <w:r>
        <w:rPr>
          <w:rFonts w:ascii="Times New Roman" w:hAnsi="Times New Roman" w:cs="Times New Roman"/>
          <w:sz w:val="24"/>
          <w:szCs w:val="24"/>
        </w:rPr>
        <w:t>dall’insieme dei servizi essenziali alla vita dei</w:t>
      </w:r>
      <w:r w:rsidR="00017360">
        <w:rPr>
          <w:rFonts w:ascii="Times New Roman" w:hAnsi="Times New Roman" w:cs="Times New Roman"/>
          <w:sz w:val="24"/>
          <w:szCs w:val="24"/>
        </w:rPr>
        <w:t xml:space="preserve"> bambini, dei</w:t>
      </w:r>
      <w:r>
        <w:rPr>
          <w:rFonts w:ascii="Times New Roman" w:hAnsi="Times New Roman" w:cs="Times New Roman"/>
          <w:sz w:val="24"/>
          <w:szCs w:val="24"/>
        </w:rPr>
        <w:t xml:space="preserve"> giovani, degli adulti e degli anziani che vivono in quell’area.</w:t>
      </w:r>
    </w:p>
    <w:p w14:paraId="5F4BE940" w14:textId="72939C42" w:rsidR="0094162A" w:rsidRPr="000D4808" w:rsidRDefault="0094162A" w:rsidP="008A6D60">
      <w:pPr>
        <w:spacing w:after="0" w:line="360" w:lineRule="auto"/>
        <w:jc w:val="both"/>
        <w:rPr>
          <w:rFonts w:ascii="Times New Roman" w:hAnsi="Times New Roman" w:cs="Times New Roman"/>
          <w:sz w:val="24"/>
          <w:szCs w:val="24"/>
        </w:rPr>
      </w:pPr>
      <w:r w:rsidRPr="000D4808">
        <w:rPr>
          <w:rFonts w:ascii="Times New Roman" w:hAnsi="Times New Roman" w:cs="Times New Roman"/>
          <w:sz w:val="24"/>
          <w:szCs w:val="24"/>
        </w:rPr>
        <w:t xml:space="preserve">Se provassimo a visualizzare </w:t>
      </w:r>
      <w:r w:rsidR="00765CA4">
        <w:rPr>
          <w:rFonts w:ascii="Times New Roman" w:hAnsi="Times New Roman" w:cs="Times New Roman"/>
          <w:sz w:val="24"/>
          <w:szCs w:val="24"/>
        </w:rPr>
        <w:t xml:space="preserve">la loro collocazione </w:t>
      </w:r>
      <w:r w:rsidRPr="000D4808">
        <w:rPr>
          <w:rFonts w:ascii="Times New Roman" w:hAnsi="Times New Roman" w:cs="Times New Roman"/>
          <w:sz w:val="24"/>
          <w:szCs w:val="24"/>
        </w:rPr>
        <w:t>su una cartina geografica, vedremmo che esse si distribuiscono lungo tutte le direttrici: dal Nord al Sud e dall’Est all’Ovest</w:t>
      </w:r>
      <w:r w:rsidR="00765CA4">
        <w:rPr>
          <w:rFonts w:ascii="Times New Roman" w:hAnsi="Times New Roman" w:cs="Times New Roman"/>
          <w:sz w:val="24"/>
          <w:szCs w:val="24"/>
        </w:rPr>
        <w:t>. L</w:t>
      </w:r>
      <w:r w:rsidRPr="000D4808">
        <w:rPr>
          <w:rFonts w:ascii="Times New Roman" w:hAnsi="Times New Roman" w:cs="Times New Roman"/>
          <w:sz w:val="24"/>
          <w:szCs w:val="24"/>
        </w:rPr>
        <w:t xml:space="preserve">a maggior parte </w:t>
      </w:r>
      <w:r w:rsidR="00765CA4">
        <w:rPr>
          <w:rFonts w:ascii="Times New Roman" w:hAnsi="Times New Roman" w:cs="Times New Roman"/>
          <w:sz w:val="24"/>
          <w:szCs w:val="24"/>
        </w:rPr>
        <w:t xml:space="preserve">radicate </w:t>
      </w:r>
      <w:r w:rsidRPr="000D4808">
        <w:rPr>
          <w:rFonts w:ascii="Times New Roman" w:hAnsi="Times New Roman" w:cs="Times New Roman"/>
          <w:sz w:val="24"/>
          <w:szCs w:val="24"/>
        </w:rPr>
        <w:t xml:space="preserve">lungo la dorsale </w:t>
      </w:r>
      <w:r w:rsidR="00F87907">
        <w:rPr>
          <w:rFonts w:ascii="Times New Roman" w:hAnsi="Times New Roman" w:cs="Times New Roman"/>
          <w:sz w:val="24"/>
          <w:szCs w:val="24"/>
        </w:rPr>
        <w:t>a</w:t>
      </w:r>
      <w:r w:rsidRPr="000D4808">
        <w:rPr>
          <w:rFonts w:ascii="Times New Roman" w:hAnsi="Times New Roman" w:cs="Times New Roman"/>
          <w:sz w:val="24"/>
          <w:szCs w:val="24"/>
        </w:rPr>
        <w:t xml:space="preserve">ppenninica, ma </w:t>
      </w:r>
      <w:r w:rsidR="00765CA4">
        <w:rPr>
          <w:rFonts w:ascii="Times New Roman" w:hAnsi="Times New Roman" w:cs="Times New Roman"/>
          <w:sz w:val="24"/>
          <w:szCs w:val="24"/>
        </w:rPr>
        <w:t xml:space="preserve">esse si </w:t>
      </w:r>
      <w:r w:rsidRPr="000D4808">
        <w:rPr>
          <w:rFonts w:ascii="Times New Roman" w:hAnsi="Times New Roman" w:cs="Times New Roman"/>
          <w:sz w:val="24"/>
          <w:szCs w:val="24"/>
        </w:rPr>
        <w:t>trov</w:t>
      </w:r>
      <w:r w:rsidR="00765CA4">
        <w:rPr>
          <w:rFonts w:ascii="Times New Roman" w:hAnsi="Times New Roman" w:cs="Times New Roman"/>
          <w:sz w:val="24"/>
          <w:szCs w:val="24"/>
        </w:rPr>
        <w:t xml:space="preserve">ano </w:t>
      </w:r>
      <w:r w:rsidRPr="000D4808">
        <w:rPr>
          <w:rFonts w:ascii="Times New Roman" w:hAnsi="Times New Roman" w:cs="Times New Roman"/>
          <w:sz w:val="24"/>
          <w:szCs w:val="24"/>
        </w:rPr>
        <w:t xml:space="preserve">anche </w:t>
      </w:r>
      <w:r w:rsidR="00F87907">
        <w:rPr>
          <w:rFonts w:ascii="Times New Roman" w:hAnsi="Times New Roman" w:cs="Times New Roman"/>
          <w:sz w:val="24"/>
          <w:szCs w:val="24"/>
        </w:rPr>
        <w:t xml:space="preserve">lungo la direttrice alpina e </w:t>
      </w:r>
      <w:r w:rsidRPr="000D4808">
        <w:rPr>
          <w:rFonts w:ascii="Times New Roman" w:hAnsi="Times New Roman" w:cs="Times New Roman"/>
          <w:sz w:val="24"/>
          <w:szCs w:val="24"/>
        </w:rPr>
        <w:t xml:space="preserve">nei pressi delle </w:t>
      </w:r>
      <w:r w:rsidR="00765CA4">
        <w:rPr>
          <w:rFonts w:ascii="Times New Roman" w:hAnsi="Times New Roman" w:cs="Times New Roman"/>
          <w:sz w:val="24"/>
          <w:szCs w:val="24"/>
        </w:rPr>
        <w:t xml:space="preserve">zone </w:t>
      </w:r>
      <w:r w:rsidRPr="000D4808">
        <w:rPr>
          <w:rFonts w:ascii="Times New Roman" w:hAnsi="Times New Roman" w:cs="Times New Roman"/>
          <w:sz w:val="24"/>
          <w:szCs w:val="24"/>
        </w:rPr>
        <w:t>cost</w:t>
      </w:r>
      <w:r w:rsidR="00765CA4">
        <w:rPr>
          <w:rFonts w:ascii="Times New Roman" w:hAnsi="Times New Roman" w:cs="Times New Roman"/>
          <w:sz w:val="24"/>
          <w:szCs w:val="24"/>
        </w:rPr>
        <w:t>iere</w:t>
      </w:r>
      <w:r w:rsidR="00F87907">
        <w:rPr>
          <w:rFonts w:ascii="Times New Roman" w:hAnsi="Times New Roman" w:cs="Times New Roman"/>
          <w:sz w:val="24"/>
          <w:szCs w:val="24"/>
        </w:rPr>
        <w:t>.</w:t>
      </w:r>
    </w:p>
    <w:p w14:paraId="4E342C0C" w14:textId="220F8E5E" w:rsidR="00861153" w:rsidRDefault="00F21AAB" w:rsidP="00501FFC">
      <w:pPr>
        <w:spacing w:after="0" w:line="360" w:lineRule="auto"/>
        <w:jc w:val="both"/>
        <w:rPr>
          <w:rFonts w:ascii="Times New Roman" w:hAnsi="Times New Roman" w:cs="Times New Roman"/>
          <w:sz w:val="24"/>
          <w:szCs w:val="24"/>
        </w:rPr>
      </w:pPr>
      <w:r>
        <w:rPr>
          <w:noProof/>
        </w:rPr>
        <w:lastRenderedPageBreak/>
        <w:drawing>
          <wp:inline distT="0" distB="0" distL="0" distR="0" wp14:anchorId="0654104C" wp14:editId="4355F257">
            <wp:extent cx="6120130" cy="8039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039100"/>
                    </a:xfrm>
                    <a:prstGeom prst="rect">
                      <a:avLst/>
                    </a:prstGeom>
                    <a:noFill/>
                    <a:ln>
                      <a:noFill/>
                    </a:ln>
                  </pic:spPr>
                </pic:pic>
              </a:graphicData>
            </a:graphic>
          </wp:inline>
        </w:drawing>
      </w:r>
    </w:p>
    <w:p w14:paraId="49D57AAC" w14:textId="77777777" w:rsidR="009D3634" w:rsidRPr="003F1D65" w:rsidRDefault="009D3634" w:rsidP="003F1D65">
      <w:pPr>
        <w:spacing w:after="0" w:line="240" w:lineRule="auto"/>
        <w:jc w:val="both"/>
        <w:rPr>
          <w:rFonts w:ascii="Times New Roman" w:hAnsi="Times New Roman" w:cs="Times New Roman"/>
          <w:sz w:val="24"/>
          <w:szCs w:val="24"/>
        </w:rPr>
      </w:pPr>
    </w:p>
    <w:p w14:paraId="26C7A561" w14:textId="0A6DEAC9" w:rsidR="00861153" w:rsidRPr="003F1D65" w:rsidRDefault="00F62B8F" w:rsidP="003F1D65">
      <w:pPr>
        <w:spacing w:after="0" w:line="240" w:lineRule="auto"/>
        <w:jc w:val="both"/>
        <w:rPr>
          <w:rFonts w:ascii="Times New Roman" w:hAnsi="Times New Roman" w:cs="Times New Roman"/>
          <w:sz w:val="18"/>
          <w:szCs w:val="18"/>
        </w:rPr>
      </w:pPr>
      <w:r w:rsidRPr="003F1D65">
        <w:rPr>
          <w:rFonts w:ascii="Times New Roman" w:hAnsi="Times New Roman" w:cs="Times New Roman"/>
          <w:sz w:val="20"/>
          <w:szCs w:val="20"/>
        </w:rPr>
        <w:t xml:space="preserve">Fonte: </w:t>
      </w:r>
      <w:hyperlink r:id="rId8" w:anchor="/media/File:Mappa_aree_interne_italia.jpg" w:history="1">
        <w:r w:rsidR="003F1D65" w:rsidRPr="00A425FF">
          <w:rPr>
            <w:rStyle w:val="Collegamentoipertestuale"/>
            <w:rFonts w:ascii="Times New Roman" w:hAnsi="Times New Roman" w:cs="Times New Roman"/>
            <w:sz w:val="18"/>
            <w:szCs w:val="18"/>
          </w:rPr>
          <w:t>https://it.wikipedia.org/wiki/Strategia_nazionale_per_le_aree_interne#/media/File:Mappa_aree_interne_italia.jpg</w:t>
        </w:r>
      </w:hyperlink>
    </w:p>
    <w:p w14:paraId="7386D988" w14:textId="77777777" w:rsidR="00F62B8F" w:rsidRDefault="00F62B8F" w:rsidP="00501FFC">
      <w:pPr>
        <w:spacing w:after="0" w:line="360" w:lineRule="auto"/>
        <w:jc w:val="both"/>
        <w:rPr>
          <w:rFonts w:ascii="Times New Roman" w:hAnsi="Times New Roman" w:cs="Times New Roman"/>
          <w:sz w:val="24"/>
          <w:szCs w:val="24"/>
        </w:rPr>
      </w:pPr>
    </w:p>
    <w:p w14:paraId="33C8E13C" w14:textId="689CBE20" w:rsidR="006E6024" w:rsidRDefault="000A488F"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All’epoca della prima individuazione delle aree interne</w:t>
      </w:r>
      <w:r w:rsidR="006E6024">
        <w:rPr>
          <w:rFonts w:ascii="Times New Roman" w:hAnsi="Times New Roman" w:cs="Times New Roman"/>
          <w:sz w:val="24"/>
          <w:szCs w:val="24"/>
        </w:rPr>
        <w:t xml:space="preserve"> (201</w:t>
      </w:r>
      <w:r w:rsidR="00B568DE">
        <w:rPr>
          <w:rFonts w:ascii="Times New Roman" w:hAnsi="Times New Roman" w:cs="Times New Roman"/>
          <w:sz w:val="24"/>
          <w:szCs w:val="24"/>
        </w:rPr>
        <w:t>3, Agenzia per la Coesione Territoriale, ministro Fabrizio Barca</w:t>
      </w:r>
      <w:r w:rsidR="006E6024">
        <w:rPr>
          <w:rFonts w:ascii="Times New Roman" w:hAnsi="Times New Roman" w:cs="Times New Roman"/>
          <w:sz w:val="24"/>
          <w:szCs w:val="24"/>
        </w:rPr>
        <w:t xml:space="preserve">), l’Istat contava ancora 8.092 Comuni; in base a quei dati, il Dipartimento per le Politiche di Sviluppo e coesione (DPS) </w:t>
      </w:r>
      <w:r w:rsidR="00857619">
        <w:rPr>
          <w:rFonts w:ascii="Times New Roman" w:hAnsi="Times New Roman" w:cs="Times New Roman"/>
          <w:sz w:val="24"/>
          <w:szCs w:val="24"/>
        </w:rPr>
        <w:t xml:space="preserve">ne </w:t>
      </w:r>
      <w:r w:rsidR="00DD263F">
        <w:rPr>
          <w:rFonts w:ascii="Times New Roman" w:hAnsi="Times New Roman" w:cs="Times New Roman"/>
          <w:sz w:val="24"/>
          <w:szCs w:val="24"/>
        </w:rPr>
        <w:t xml:space="preserve">faceva ricadere ben </w:t>
      </w:r>
      <w:r w:rsidR="00857619">
        <w:rPr>
          <w:rFonts w:ascii="Times New Roman" w:hAnsi="Times New Roman" w:cs="Times New Roman"/>
          <w:sz w:val="24"/>
          <w:szCs w:val="24"/>
        </w:rPr>
        <w:t xml:space="preserve">4.261 </w:t>
      </w:r>
      <w:r w:rsidR="00DD263F">
        <w:rPr>
          <w:rFonts w:ascii="Times New Roman" w:hAnsi="Times New Roman" w:cs="Times New Roman"/>
          <w:sz w:val="24"/>
          <w:szCs w:val="24"/>
        </w:rPr>
        <w:t>(</w:t>
      </w:r>
      <w:r w:rsidR="00857619">
        <w:rPr>
          <w:rFonts w:ascii="Times New Roman" w:hAnsi="Times New Roman" w:cs="Times New Roman"/>
          <w:sz w:val="24"/>
          <w:szCs w:val="24"/>
        </w:rPr>
        <w:t xml:space="preserve">pari al </w:t>
      </w:r>
      <w:r w:rsidR="006E6024">
        <w:rPr>
          <w:rFonts w:ascii="Times New Roman" w:hAnsi="Times New Roman" w:cs="Times New Roman"/>
          <w:sz w:val="24"/>
          <w:szCs w:val="24"/>
        </w:rPr>
        <w:t>52,7%</w:t>
      </w:r>
      <w:r w:rsidR="00DD263F">
        <w:rPr>
          <w:rFonts w:ascii="Times New Roman" w:hAnsi="Times New Roman" w:cs="Times New Roman"/>
          <w:sz w:val="24"/>
          <w:szCs w:val="24"/>
        </w:rPr>
        <w:t xml:space="preserve">) nell’ambito delle </w:t>
      </w:r>
      <w:r w:rsidR="006E6024">
        <w:rPr>
          <w:rFonts w:ascii="Times New Roman" w:hAnsi="Times New Roman" w:cs="Times New Roman"/>
          <w:sz w:val="24"/>
          <w:szCs w:val="24"/>
        </w:rPr>
        <w:t>Aree interne</w:t>
      </w:r>
      <w:r w:rsidR="00857619">
        <w:rPr>
          <w:rFonts w:ascii="Times New Roman" w:hAnsi="Times New Roman" w:cs="Times New Roman"/>
          <w:sz w:val="24"/>
          <w:szCs w:val="24"/>
        </w:rPr>
        <w:t xml:space="preserve"> del Paese</w:t>
      </w:r>
      <w:r w:rsidR="006E6024">
        <w:rPr>
          <w:rFonts w:ascii="Times New Roman" w:hAnsi="Times New Roman" w:cs="Times New Roman"/>
          <w:sz w:val="24"/>
          <w:szCs w:val="24"/>
        </w:rPr>
        <w:t>.</w:t>
      </w:r>
    </w:p>
    <w:p w14:paraId="179801FE" w14:textId="014C7FC3" w:rsidR="000A488F" w:rsidRDefault="006E6024"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439657" w14:textId="540D2252" w:rsidR="0007273B" w:rsidRPr="000A628E" w:rsidRDefault="0007273B" w:rsidP="0007273B">
      <w:pPr>
        <w:shd w:val="clear" w:color="auto" w:fill="FFFFFF"/>
        <w:spacing w:before="240" w:after="120" w:line="240" w:lineRule="auto"/>
        <w:jc w:val="both"/>
        <w:outlineLvl w:val="3"/>
        <w:rPr>
          <w:rFonts w:ascii="Times New Roman" w:eastAsia="Times New Roman" w:hAnsi="Times New Roman" w:cs="Times New Roman"/>
          <w:b/>
          <w:bCs/>
          <w:color w:val="0F1419"/>
          <w:sz w:val="28"/>
          <w:szCs w:val="28"/>
          <w:lang w:eastAsia="it-IT"/>
        </w:rPr>
      </w:pPr>
      <w:r w:rsidRPr="000A628E">
        <w:rPr>
          <w:rFonts w:ascii="Times New Roman" w:eastAsia="Times New Roman" w:hAnsi="Times New Roman" w:cs="Times New Roman"/>
          <w:b/>
          <w:bCs/>
          <w:color w:val="0F1419"/>
          <w:sz w:val="28"/>
          <w:szCs w:val="28"/>
          <w:lang w:eastAsia="it-IT"/>
        </w:rPr>
        <w:t xml:space="preserve">Classificazione dei Comuni </w:t>
      </w:r>
      <w:r w:rsidR="00857619" w:rsidRPr="000A628E">
        <w:rPr>
          <w:rFonts w:ascii="Times New Roman" w:eastAsia="Times New Roman" w:hAnsi="Times New Roman" w:cs="Times New Roman"/>
          <w:b/>
          <w:bCs/>
          <w:color w:val="0F1419"/>
          <w:sz w:val="28"/>
          <w:szCs w:val="28"/>
          <w:lang w:eastAsia="it-IT"/>
        </w:rPr>
        <w:t>per A</w:t>
      </w:r>
      <w:r w:rsidRPr="000A628E">
        <w:rPr>
          <w:rFonts w:ascii="Times New Roman" w:eastAsia="Times New Roman" w:hAnsi="Times New Roman" w:cs="Times New Roman"/>
          <w:b/>
          <w:bCs/>
          <w:color w:val="0F1419"/>
          <w:sz w:val="28"/>
          <w:szCs w:val="28"/>
          <w:lang w:eastAsia="it-IT"/>
        </w:rPr>
        <w:t>r</w:t>
      </w:r>
      <w:r w:rsidR="00857619" w:rsidRPr="000A628E">
        <w:rPr>
          <w:rFonts w:ascii="Times New Roman" w:eastAsia="Times New Roman" w:hAnsi="Times New Roman" w:cs="Times New Roman"/>
          <w:b/>
          <w:bCs/>
          <w:color w:val="0F1419"/>
          <w:sz w:val="28"/>
          <w:szCs w:val="28"/>
          <w:lang w:eastAsia="it-IT"/>
        </w:rPr>
        <w:t>e</w:t>
      </w:r>
      <w:r w:rsidRPr="000A628E">
        <w:rPr>
          <w:rFonts w:ascii="Times New Roman" w:eastAsia="Times New Roman" w:hAnsi="Times New Roman" w:cs="Times New Roman"/>
          <w:b/>
          <w:bCs/>
          <w:color w:val="0F1419"/>
          <w:sz w:val="28"/>
          <w:szCs w:val="28"/>
          <w:lang w:eastAsia="it-IT"/>
        </w:rPr>
        <w:t>e</w:t>
      </w:r>
      <w:r w:rsidR="00857619" w:rsidRPr="000A628E">
        <w:rPr>
          <w:rFonts w:ascii="Times New Roman" w:eastAsia="Times New Roman" w:hAnsi="Times New Roman" w:cs="Times New Roman"/>
          <w:b/>
          <w:bCs/>
          <w:color w:val="0F1419"/>
          <w:sz w:val="28"/>
          <w:szCs w:val="28"/>
          <w:lang w:eastAsia="it-IT"/>
        </w:rPr>
        <w:t xml:space="preserve">, su </w:t>
      </w:r>
      <w:r w:rsidRPr="000A628E">
        <w:rPr>
          <w:rFonts w:ascii="Times New Roman" w:eastAsia="Times New Roman" w:hAnsi="Times New Roman" w:cs="Times New Roman"/>
          <w:b/>
          <w:bCs/>
          <w:color w:val="0F1419"/>
          <w:sz w:val="28"/>
          <w:szCs w:val="28"/>
          <w:lang w:eastAsia="it-IT"/>
        </w:rPr>
        <w:t>metodologia S</w:t>
      </w:r>
      <w:r w:rsidR="00857619" w:rsidRPr="000A628E">
        <w:rPr>
          <w:rFonts w:ascii="Times New Roman" w:eastAsia="Times New Roman" w:hAnsi="Times New Roman" w:cs="Times New Roman"/>
          <w:b/>
          <w:bCs/>
          <w:color w:val="0F1419"/>
          <w:sz w:val="28"/>
          <w:szCs w:val="28"/>
          <w:lang w:eastAsia="it-IT"/>
        </w:rPr>
        <w:t xml:space="preserve">NAI. </w:t>
      </w:r>
      <w:r w:rsidRPr="000A628E">
        <w:rPr>
          <w:rFonts w:ascii="Times New Roman" w:eastAsia="Times New Roman" w:hAnsi="Times New Roman" w:cs="Times New Roman"/>
          <w:b/>
          <w:bCs/>
          <w:color w:val="0F1419"/>
          <w:sz w:val="28"/>
          <w:szCs w:val="28"/>
          <w:lang w:eastAsia="it-IT"/>
        </w:rPr>
        <w:t>2012</w:t>
      </w:r>
    </w:p>
    <w:p w14:paraId="26EB67BE" w14:textId="2FDED7B0" w:rsidR="0007273B" w:rsidRPr="0007273B" w:rsidRDefault="0007273B" w:rsidP="0007273B">
      <w:pPr>
        <w:shd w:val="clear" w:color="auto" w:fill="FFFFFF"/>
        <w:spacing w:after="288" w:line="240" w:lineRule="auto"/>
        <w:jc w:val="both"/>
        <w:rPr>
          <w:rFonts w:ascii="Arial" w:eastAsia="Times New Roman" w:hAnsi="Arial" w:cs="Arial"/>
          <w:color w:val="0F1419"/>
          <w:lang w:eastAsia="it-IT"/>
        </w:rPr>
      </w:pPr>
      <w:r w:rsidRPr="0007273B">
        <w:rPr>
          <w:rFonts w:ascii="Arial" w:eastAsia="Times New Roman" w:hAnsi="Arial" w:cs="Arial"/>
          <w:noProof/>
          <w:color w:val="0F1419"/>
          <w:lang w:eastAsia="it-IT"/>
        </w:rPr>
        <w:drawing>
          <wp:inline distT="0" distB="0" distL="0" distR="0" wp14:anchorId="603B8AAA" wp14:editId="1B24435F">
            <wp:extent cx="4895850" cy="192443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886" cy="1926024"/>
                    </a:xfrm>
                    <a:prstGeom prst="rect">
                      <a:avLst/>
                    </a:prstGeom>
                    <a:noFill/>
                    <a:ln>
                      <a:noFill/>
                    </a:ln>
                  </pic:spPr>
                </pic:pic>
              </a:graphicData>
            </a:graphic>
          </wp:inline>
        </w:drawing>
      </w:r>
    </w:p>
    <w:p w14:paraId="733289E4" w14:textId="48AC995C" w:rsidR="000B2670" w:rsidRPr="003F1D65" w:rsidRDefault="000A488F" w:rsidP="00857619">
      <w:pPr>
        <w:spacing w:after="0" w:line="240" w:lineRule="auto"/>
        <w:jc w:val="both"/>
        <w:rPr>
          <w:rFonts w:ascii="Times New Roman" w:hAnsi="Times New Roman" w:cs="Times New Roman"/>
          <w:sz w:val="18"/>
          <w:szCs w:val="18"/>
        </w:rPr>
      </w:pPr>
      <w:r w:rsidRPr="00857619">
        <w:rPr>
          <w:rFonts w:ascii="Times New Roman" w:hAnsi="Times New Roman" w:cs="Times New Roman"/>
          <w:sz w:val="20"/>
          <w:szCs w:val="20"/>
        </w:rPr>
        <w:t>Fonte:</w:t>
      </w:r>
      <w:r w:rsidR="00857619" w:rsidRPr="00857619">
        <w:rPr>
          <w:rFonts w:ascii="Times New Roman" w:hAnsi="Times New Roman" w:cs="Times New Roman"/>
          <w:sz w:val="20"/>
          <w:szCs w:val="20"/>
        </w:rPr>
        <w:t xml:space="preserve"> ANCI-Fondazione IFEL</w:t>
      </w:r>
      <w:r w:rsidR="00857619">
        <w:rPr>
          <w:rFonts w:ascii="Times New Roman" w:hAnsi="Times New Roman" w:cs="Times New Roman"/>
          <w:sz w:val="20"/>
          <w:szCs w:val="20"/>
        </w:rPr>
        <w:t>,</w:t>
      </w:r>
      <w:r w:rsidR="00857619" w:rsidRPr="00857619">
        <w:rPr>
          <w:rFonts w:ascii="Times New Roman" w:hAnsi="Times New Roman" w:cs="Times New Roman"/>
          <w:sz w:val="20"/>
          <w:szCs w:val="20"/>
        </w:rPr>
        <w:t xml:space="preserve"> </w:t>
      </w:r>
      <w:r w:rsidR="00857619" w:rsidRPr="00857619">
        <w:rPr>
          <w:rFonts w:ascii="Times New Roman" w:hAnsi="Times New Roman" w:cs="Times New Roman"/>
          <w:i/>
          <w:iCs/>
          <w:sz w:val="20"/>
          <w:szCs w:val="20"/>
        </w:rPr>
        <w:t xml:space="preserve">I Comuni della Strategia </w:t>
      </w:r>
      <w:r w:rsidR="00857619">
        <w:rPr>
          <w:rFonts w:ascii="Times New Roman" w:hAnsi="Times New Roman" w:cs="Times New Roman"/>
          <w:i/>
          <w:iCs/>
          <w:sz w:val="20"/>
          <w:szCs w:val="20"/>
        </w:rPr>
        <w:t>N</w:t>
      </w:r>
      <w:r w:rsidR="00857619" w:rsidRPr="00857619">
        <w:rPr>
          <w:rFonts w:ascii="Times New Roman" w:hAnsi="Times New Roman" w:cs="Times New Roman"/>
          <w:i/>
          <w:iCs/>
          <w:sz w:val="20"/>
          <w:szCs w:val="20"/>
        </w:rPr>
        <w:t>azionale Aree interne</w:t>
      </w:r>
      <w:r w:rsidR="00857619" w:rsidRPr="00857619">
        <w:rPr>
          <w:rFonts w:ascii="Times New Roman" w:hAnsi="Times New Roman" w:cs="Times New Roman"/>
          <w:sz w:val="20"/>
          <w:szCs w:val="20"/>
        </w:rPr>
        <w:t xml:space="preserve">, 2015.  </w:t>
      </w:r>
      <w:r w:rsidRPr="00857619">
        <w:rPr>
          <w:rFonts w:ascii="Times New Roman" w:hAnsi="Times New Roman" w:cs="Times New Roman"/>
          <w:sz w:val="20"/>
          <w:szCs w:val="20"/>
        </w:rPr>
        <w:t xml:space="preserve"> </w:t>
      </w:r>
      <w:hyperlink r:id="rId10" w:history="1">
        <w:r w:rsidR="003F1D65" w:rsidRPr="00A425FF">
          <w:rPr>
            <w:rStyle w:val="Collegamentoipertestuale"/>
            <w:rFonts w:ascii="Times New Roman" w:hAnsi="Times New Roman" w:cs="Times New Roman"/>
            <w:sz w:val="18"/>
            <w:szCs w:val="18"/>
          </w:rPr>
          <w:t>https://www.fondazioneifel.it/documenti-e-pubblicazioni/item/download/303_49140d30b741b7114e36bf56e049fe8c</w:t>
        </w:r>
      </w:hyperlink>
    </w:p>
    <w:p w14:paraId="2EFAB15F" w14:textId="5D7AF4B7" w:rsidR="000A488F" w:rsidRDefault="00857619"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32B238" w14:textId="77777777" w:rsidR="00857619" w:rsidRDefault="00857619" w:rsidP="009D3634">
      <w:pPr>
        <w:spacing w:after="0" w:line="360" w:lineRule="auto"/>
        <w:jc w:val="both"/>
        <w:rPr>
          <w:rFonts w:ascii="Times New Roman" w:hAnsi="Times New Roman" w:cs="Times New Roman"/>
          <w:sz w:val="24"/>
          <w:szCs w:val="24"/>
        </w:rPr>
      </w:pPr>
    </w:p>
    <w:p w14:paraId="6ECDFC6E"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Come si sa, il nostro Paese è caratterizzato da una miriade di piccoli e piccolissimi Comuni.</w:t>
      </w:r>
    </w:p>
    <w:p w14:paraId="6F5A08B0"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 xml:space="preserve">Secondo gli ultimi dati Istat, in Italia vi sono 7.904 Comuni, di cui il 69,8% (5.521) con una popolazione non superiore ai 5.000 abitanti; in essi vi risiedono 9.768.705 abitanti (il 16,5% dei 59.257.566 degli italiani residenti). </w:t>
      </w:r>
    </w:p>
    <w:p w14:paraId="6C0C2F90"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L’Associazione Nazionale Comuni Italiani (ANCI) ci informa che tra i piccoli Comuni italiani il 45,8% ha una popolazione compresa tra 1.001 e 3.000 residenti e il 33,6% resta al di sotto della soglia dei 1.000 abitanti (fonte http://www.anci.it/atlante-dei-piccoli-comuni/).</w:t>
      </w:r>
    </w:p>
    <w:p w14:paraId="2A89893F"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Infine, ben 136 sono i Comuni italiani che non superano i 150 residenti; gli ultimi 10 posti sono occupati da 8 Comuni piedimontesi e 2 Comuni lombardi: Morterone con 29 residenti e Pedesina con 35 residenti sono i due più piccoli in assoluto.</w:t>
      </w:r>
    </w:p>
    <w:p w14:paraId="7962F8F2"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Le regioni con il più alto numero di piccoli Comuni sono il Piemonte (1.046) e la Lombardia (1.043).</w:t>
      </w:r>
    </w:p>
    <w:p w14:paraId="64F54B8E"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Di contro, soltanto 139 dei Comuni italiani ha una popolazione uguale o superiore a 50 mila abitanti</w:t>
      </w:r>
    </w:p>
    <w:p w14:paraId="18A51E5E" w14:textId="77777777" w:rsidR="0029383E" w:rsidRDefault="0029383E" w:rsidP="000A628E">
      <w:pPr>
        <w:spacing w:after="0" w:line="240" w:lineRule="auto"/>
        <w:ind w:left="709"/>
        <w:jc w:val="both"/>
        <w:rPr>
          <w:rFonts w:ascii="Times New Roman" w:hAnsi="Times New Roman" w:cs="Times New Roman"/>
        </w:rPr>
      </w:pPr>
    </w:p>
    <w:p w14:paraId="3160794D" w14:textId="5CDCAB51"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 xml:space="preserve">Una recente previsione ci informa che entro la fine di questo decennio i due terzi della popolazione mondiale vivrà in città. Ciò significa che circa 5 miliardi e 200 milioni di uomini e di donne vivranno - e la gran parte già vive in queste condizioni - in spazi urbani ampliati a dismisura (le megalopoli, le aree metropolitane e le già affollate periferie cittadine). </w:t>
      </w:r>
    </w:p>
    <w:p w14:paraId="5D1A5C55" w14:textId="77777777" w:rsidR="006E6024" w:rsidRPr="000A628E" w:rsidRDefault="006E6024" w:rsidP="000A628E">
      <w:pPr>
        <w:spacing w:after="0" w:line="240" w:lineRule="auto"/>
        <w:ind w:left="709"/>
        <w:jc w:val="both"/>
        <w:rPr>
          <w:rFonts w:ascii="Times New Roman" w:hAnsi="Times New Roman" w:cs="Times New Roman"/>
        </w:rPr>
      </w:pPr>
      <w:r w:rsidRPr="000A628E">
        <w:rPr>
          <w:rFonts w:ascii="Times New Roman" w:hAnsi="Times New Roman" w:cs="Times New Roman"/>
        </w:rPr>
        <w:t>Significa anche che 2 miliardi e 200 milioni di uomini e di donne resteranno – e la gran parte già vive in queste condizioni – in aree interne (piccoli paesi, aree rurali e marginali).</w:t>
      </w:r>
    </w:p>
    <w:p w14:paraId="6075AD9D" w14:textId="1D9253F4" w:rsidR="000A488F" w:rsidRDefault="000A488F" w:rsidP="009D3634">
      <w:pPr>
        <w:spacing w:after="0" w:line="360" w:lineRule="auto"/>
        <w:jc w:val="both"/>
        <w:rPr>
          <w:rFonts w:ascii="Times New Roman" w:hAnsi="Times New Roman" w:cs="Times New Roman"/>
          <w:sz w:val="24"/>
          <w:szCs w:val="24"/>
        </w:rPr>
      </w:pPr>
    </w:p>
    <w:p w14:paraId="04E6AF47" w14:textId="77777777" w:rsidR="000A628E" w:rsidRDefault="000A628E" w:rsidP="000A488F">
      <w:pPr>
        <w:spacing w:after="0" w:line="360" w:lineRule="auto"/>
        <w:jc w:val="both"/>
        <w:rPr>
          <w:rFonts w:ascii="Times New Roman" w:hAnsi="Times New Roman" w:cs="Times New Roman"/>
          <w:b/>
          <w:bCs/>
          <w:sz w:val="28"/>
          <w:szCs w:val="28"/>
        </w:rPr>
      </w:pPr>
    </w:p>
    <w:p w14:paraId="212A7D9F" w14:textId="77777777" w:rsidR="000A628E" w:rsidRDefault="000A628E" w:rsidP="000A488F">
      <w:pPr>
        <w:spacing w:after="0" w:line="360" w:lineRule="auto"/>
        <w:jc w:val="both"/>
        <w:rPr>
          <w:rFonts w:ascii="Times New Roman" w:hAnsi="Times New Roman" w:cs="Times New Roman"/>
          <w:b/>
          <w:bCs/>
          <w:sz w:val="28"/>
          <w:szCs w:val="28"/>
        </w:rPr>
      </w:pPr>
    </w:p>
    <w:p w14:paraId="220E86A5" w14:textId="41A0406F" w:rsidR="000A488F" w:rsidRPr="000A628E" w:rsidRDefault="000A488F" w:rsidP="000A488F">
      <w:pPr>
        <w:spacing w:after="0" w:line="360" w:lineRule="auto"/>
        <w:jc w:val="both"/>
        <w:rPr>
          <w:rFonts w:ascii="Times New Roman" w:hAnsi="Times New Roman" w:cs="Times New Roman"/>
          <w:b/>
          <w:bCs/>
          <w:sz w:val="28"/>
          <w:szCs w:val="28"/>
        </w:rPr>
      </w:pPr>
      <w:r w:rsidRPr="000A628E">
        <w:rPr>
          <w:rFonts w:ascii="Times New Roman" w:hAnsi="Times New Roman" w:cs="Times New Roman"/>
          <w:b/>
          <w:bCs/>
          <w:sz w:val="28"/>
          <w:szCs w:val="28"/>
        </w:rPr>
        <w:lastRenderedPageBreak/>
        <w:t xml:space="preserve">I comuni </w:t>
      </w:r>
      <w:r w:rsidR="000A628E">
        <w:rPr>
          <w:rFonts w:ascii="Times New Roman" w:hAnsi="Times New Roman" w:cs="Times New Roman"/>
          <w:b/>
          <w:bCs/>
          <w:sz w:val="28"/>
          <w:szCs w:val="28"/>
        </w:rPr>
        <w:t>italiani in A</w:t>
      </w:r>
      <w:r w:rsidRPr="000A628E">
        <w:rPr>
          <w:rFonts w:ascii="Times New Roman" w:hAnsi="Times New Roman" w:cs="Times New Roman"/>
          <w:b/>
          <w:bCs/>
          <w:sz w:val="28"/>
          <w:szCs w:val="28"/>
        </w:rPr>
        <w:t>ree interne, per regione</w:t>
      </w:r>
      <w:r w:rsidR="00081A55">
        <w:rPr>
          <w:rFonts w:ascii="Times New Roman" w:hAnsi="Times New Roman" w:cs="Times New Roman"/>
          <w:b/>
          <w:bCs/>
          <w:sz w:val="28"/>
          <w:szCs w:val="28"/>
        </w:rPr>
        <w:t xml:space="preserve">. Dati </w:t>
      </w:r>
      <w:r w:rsidRPr="000A628E">
        <w:rPr>
          <w:rFonts w:ascii="Times New Roman" w:hAnsi="Times New Roman" w:cs="Times New Roman"/>
          <w:b/>
          <w:bCs/>
          <w:sz w:val="28"/>
          <w:szCs w:val="28"/>
        </w:rPr>
        <w:t>2012</w:t>
      </w:r>
      <w:r w:rsidR="00081A55">
        <w:rPr>
          <w:rFonts w:ascii="Times New Roman" w:hAnsi="Times New Roman" w:cs="Times New Roman"/>
          <w:b/>
          <w:bCs/>
          <w:sz w:val="28"/>
          <w:szCs w:val="28"/>
        </w:rPr>
        <w:t>.</w:t>
      </w:r>
    </w:p>
    <w:tbl>
      <w:tblPr>
        <w:tblStyle w:val="Grigliatabella"/>
        <w:tblW w:w="0" w:type="auto"/>
        <w:tblLook w:val="04A0" w:firstRow="1" w:lastRow="0" w:firstColumn="1" w:lastColumn="0" w:noHBand="0" w:noVBand="1"/>
      </w:tblPr>
      <w:tblGrid>
        <w:gridCol w:w="2407"/>
        <w:gridCol w:w="1699"/>
        <w:gridCol w:w="1701"/>
        <w:gridCol w:w="1276"/>
      </w:tblGrid>
      <w:tr w:rsidR="000A628E" w14:paraId="6F68E486" w14:textId="77777777" w:rsidTr="00081A55">
        <w:tc>
          <w:tcPr>
            <w:tcW w:w="2407" w:type="dxa"/>
          </w:tcPr>
          <w:p w14:paraId="44E78F13" w14:textId="3C5D0081" w:rsidR="000A628E" w:rsidRPr="00081A55" w:rsidRDefault="000A628E" w:rsidP="0029383E">
            <w:pPr>
              <w:jc w:val="both"/>
              <w:rPr>
                <w:rFonts w:ascii="Times New Roman" w:hAnsi="Times New Roman" w:cs="Times New Roman"/>
                <w:sz w:val="24"/>
                <w:szCs w:val="24"/>
              </w:rPr>
            </w:pPr>
            <w:r w:rsidRPr="00081A55">
              <w:rPr>
                <w:rFonts w:ascii="Times New Roman" w:hAnsi="Times New Roman" w:cs="Times New Roman"/>
                <w:sz w:val="24"/>
                <w:szCs w:val="24"/>
              </w:rPr>
              <w:t>Region</w:t>
            </w:r>
            <w:r w:rsidR="00081A55" w:rsidRPr="00081A55">
              <w:rPr>
                <w:rFonts w:ascii="Times New Roman" w:hAnsi="Times New Roman" w:cs="Times New Roman"/>
                <w:sz w:val="24"/>
                <w:szCs w:val="24"/>
              </w:rPr>
              <w:t>i</w:t>
            </w:r>
          </w:p>
        </w:tc>
        <w:tc>
          <w:tcPr>
            <w:tcW w:w="1699" w:type="dxa"/>
          </w:tcPr>
          <w:p w14:paraId="026895F0" w14:textId="67BCB04F" w:rsidR="000A628E" w:rsidRPr="00081A55" w:rsidRDefault="0029383E" w:rsidP="0029383E">
            <w:pPr>
              <w:jc w:val="right"/>
              <w:rPr>
                <w:rFonts w:ascii="Times New Roman" w:hAnsi="Times New Roman" w:cs="Times New Roman"/>
                <w:sz w:val="24"/>
                <w:szCs w:val="24"/>
              </w:rPr>
            </w:pPr>
            <w:r>
              <w:rPr>
                <w:rFonts w:ascii="Times New Roman" w:hAnsi="Times New Roman" w:cs="Times New Roman"/>
                <w:sz w:val="24"/>
                <w:szCs w:val="24"/>
              </w:rPr>
              <w:t xml:space="preserve">Totale </w:t>
            </w:r>
            <w:r w:rsidR="000A628E" w:rsidRPr="00081A55">
              <w:rPr>
                <w:rFonts w:ascii="Times New Roman" w:hAnsi="Times New Roman" w:cs="Times New Roman"/>
                <w:sz w:val="24"/>
                <w:szCs w:val="24"/>
              </w:rPr>
              <w:t xml:space="preserve">dei Comuni </w:t>
            </w:r>
          </w:p>
        </w:tc>
        <w:tc>
          <w:tcPr>
            <w:tcW w:w="1701" w:type="dxa"/>
          </w:tcPr>
          <w:p w14:paraId="014CB6FD" w14:textId="65008329" w:rsidR="000A628E" w:rsidRPr="00081A55" w:rsidRDefault="000A628E" w:rsidP="0029383E">
            <w:pPr>
              <w:jc w:val="right"/>
              <w:rPr>
                <w:rFonts w:ascii="Times New Roman" w:hAnsi="Times New Roman" w:cs="Times New Roman"/>
                <w:sz w:val="24"/>
                <w:szCs w:val="24"/>
              </w:rPr>
            </w:pPr>
            <w:r w:rsidRPr="00081A55">
              <w:rPr>
                <w:rFonts w:ascii="Times New Roman" w:hAnsi="Times New Roman" w:cs="Times New Roman"/>
                <w:sz w:val="24"/>
                <w:szCs w:val="24"/>
              </w:rPr>
              <w:t>Comuni in Aree interne</w:t>
            </w:r>
          </w:p>
        </w:tc>
        <w:tc>
          <w:tcPr>
            <w:tcW w:w="1276" w:type="dxa"/>
          </w:tcPr>
          <w:p w14:paraId="7714AE1F" w14:textId="10A44B2B" w:rsidR="000A628E" w:rsidRPr="00081A55" w:rsidRDefault="000A628E" w:rsidP="0029383E">
            <w:pPr>
              <w:jc w:val="right"/>
              <w:rPr>
                <w:rFonts w:ascii="Times New Roman" w:hAnsi="Times New Roman" w:cs="Times New Roman"/>
                <w:sz w:val="24"/>
                <w:szCs w:val="24"/>
              </w:rPr>
            </w:pPr>
            <w:r w:rsidRPr="00081A55">
              <w:rPr>
                <w:rFonts w:ascii="Times New Roman" w:hAnsi="Times New Roman" w:cs="Times New Roman"/>
                <w:sz w:val="24"/>
                <w:szCs w:val="24"/>
              </w:rPr>
              <w:t>%</w:t>
            </w:r>
            <w:r w:rsidR="00E52A96" w:rsidRPr="00081A55">
              <w:rPr>
                <w:rFonts w:ascii="Times New Roman" w:hAnsi="Times New Roman" w:cs="Times New Roman"/>
                <w:sz w:val="24"/>
                <w:szCs w:val="24"/>
              </w:rPr>
              <w:t xml:space="preserve"> in </w:t>
            </w:r>
            <w:r w:rsidRPr="00081A55">
              <w:rPr>
                <w:rFonts w:ascii="Times New Roman" w:hAnsi="Times New Roman" w:cs="Times New Roman"/>
                <w:sz w:val="24"/>
                <w:szCs w:val="24"/>
              </w:rPr>
              <w:t>Aree interne</w:t>
            </w:r>
          </w:p>
        </w:tc>
      </w:tr>
      <w:tr w:rsidR="000A628E" w14:paraId="4ADA097B" w14:textId="77777777" w:rsidTr="00081A55">
        <w:tc>
          <w:tcPr>
            <w:tcW w:w="2407" w:type="dxa"/>
          </w:tcPr>
          <w:p w14:paraId="2613CCDC" w14:textId="7D81D941" w:rsidR="000A628E" w:rsidRDefault="000A628E" w:rsidP="000A628E">
            <w:pPr>
              <w:spacing w:line="360" w:lineRule="auto"/>
              <w:jc w:val="both"/>
              <w:rPr>
                <w:rFonts w:ascii="Times New Roman" w:hAnsi="Times New Roman" w:cs="Times New Roman"/>
              </w:rPr>
            </w:pPr>
            <w:r w:rsidRPr="000A628E">
              <w:rPr>
                <w:rFonts w:ascii="Times New Roman" w:hAnsi="Times New Roman" w:cs="Times New Roman"/>
              </w:rPr>
              <w:t>Piemonte</w:t>
            </w:r>
          </w:p>
        </w:tc>
        <w:tc>
          <w:tcPr>
            <w:tcW w:w="1699" w:type="dxa"/>
          </w:tcPr>
          <w:p w14:paraId="60A6E837" w14:textId="19843BA5" w:rsidR="000A628E" w:rsidRDefault="000A628E" w:rsidP="00081A55">
            <w:pPr>
              <w:spacing w:line="360" w:lineRule="auto"/>
              <w:jc w:val="right"/>
              <w:rPr>
                <w:rFonts w:ascii="Times New Roman" w:hAnsi="Times New Roman" w:cs="Times New Roman"/>
              </w:rPr>
            </w:pPr>
            <w:r>
              <w:rPr>
                <w:rFonts w:ascii="Times New Roman" w:hAnsi="Times New Roman" w:cs="Times New Roman"/>
              </w:rPr>
              <w:t>1.206</w:t>
            </w:r>
          </w:p>
        </w:tc>
        <w:tc>
          <w:tcPr>
            <w:tcW w:w="1701" w:type="dxa"/>
          </w:tcPr>
          <w:p w14:paraId="7E276D14" w14:textId="00F0FAFE" w:rsidR="000A628E" w:rsidRDefault="000A628E" w:rsidP="00081A55">
            <w:pPr>
              <w:spacing w:line="360" w:lineRule="auto"/>
              <w:jc w:val="right"/>
              <w:rPr>
                <w:rFonts w:ascii="Times New Roman" w:hAnsi="Times New Roman" w:cs="Times New Roman"/>
              </w:rPr>
            </w:pPr>
            <w:r>
              <w:rPr>
                <w:rFonts w:ascii="Times New Roman" w:hAnsi="Times New Roman" w:cs="Times New Roman"/>
              </w:rPr>
              <w:t>505</w:t>
            </w:r>
          </w:p>
        </w:tc>
        <w:tc>
          <w:tcPr>
            <w:tcW w:w="1276" w:type="dxa"/>
          </w:tcPr>
          <w:p w14:paraId="49909612" w14:textId="20956A6F" w:rsidR="000A628E" w:rsidRDefault="000A628E" w:rsidP="00081A55">
            <w:pPr>
              <w:spacing w:line="360" w:lineRule="auto"/>
              <w:jc w:val="right"/>
              <w:rPr>
                <w:rFonts w:ascii="Times New Roman" w:hAnsi="Times New Roman" w:cs="Times New Roman"/>
              </w:rPr>
            </w:pPr>
            <w:r>
              <w:rPr>
                <w:rFonts w:ascii="Times New Roman" w:hAnsi="Times New Roman" w:cs="Times New Roman"/>
              </w:rPr>
              <w:t>41,9</w:t>
            </w:r>
          </w:p>
        </w:tc>
      </w:tr>
      <w:tr w:rsidR="000A628E" w14:paraId="12F9A9EE" w14:textId="77777777" w:rsidTr="00081A55">
        <w:tc>
          <w:tcPr>
            <w:tcW w:w="2407" w:type="dxa"/>
          </w:tcPr>
          <w:p w14:paraId="29AA7E77" w14:textId="49DCB4ED" w:rsidR="000A628E" w:rsidRDefault="00E52A96" w:rsidP="000A628E">
            <w:pPr>
              <w:spacing w:line="360" w:lineRule="auto"/>
              <w:jc w:val="both"/>
              <w:rPr>
                <w:rFonts w:ascii="Times New Roman" w:hAnsi="Times New Roman" w:cs="Times New Roman"/>
              </w:rPr>
            </w:pPr>
            <w:r>
              <w:rPr>
                <w:rFonts w:ascii="Times New Roman" w:hAnsi="Times New Roman" w:cs="Times New Roman"/>
              </w:rPr>
              <w:t>Valle d’Aosta</w:t>
            </w:r>
          </w:p>
        </w:tc>
        <w:tc>
          <w:tcPr>
            <w:tcW w:w="1699" w:type="dxa"/>
          </w:tcPr>
          <w:p w14:paraId="0CC25959" w14:textId="6630B52D" w:rsidR="000A628E" w:rsidRDefault="00E52A96" w:rsidP="00081A55">
            <w:pPr>
              <w:spacing w:line="360" w:lineRule="auto"/>
              <w:jc w:val="right"/>
              <w:rPr>
                <w:rFonts w:ascii="Times New Roman" w:hAnsi="Times New Roman" w:cs="Times New Roman"/>
              </w:rPr>
            </w:pPr>
            <w:r>
              <w:rPr>
                <w:rFonts w:ascii="Times New Roman" w:hAnsi="Times New Roman" w:cs="Times New Roman"/>
              </w:rPr>
              <w:t>74</w:t>
            </w:r>
          </w:p>
        </w:tc>
        <w:tc>
          <w:tcPr>
            <w:tcW w:w="1701" w:type="dxa"/>
          </w:tcPr>
          <w:p w14:paraId="16EA7510" w14:textId="1761EF73" w:rsidR="000A628E" w:rsidRDefault="00E52A96" w:rsidP="00081A55">
            <w:pPr>
              <w:spacing w:line="360" w:lineRule="auto"/>
              <w:jc w:val="right"/>
              <w:rPr>
                <w:rFonts w:ascii="Times New Roman" w:hAnsi="Times New Roman" w:cs="Times New Roman"/>
              </w:rPr>
            </w:pPr>
            <w:r>
              <w:rPr>
                <w:rFonts w:ascii="Times New Roman" w:hAnsi="Times New Roman" w:cs="Times New Roman"/>
              </w:rPr>
              <w:t>44</w:t>
            </w:r>
          </w:p>
        </w:tc>
        <w:tc>
          <w:tcPr>
            <w:tcW w:w="1276" w:type="dxa"/>
          </w:tcPr>
          <w:p w14:paraId="3B99B676" w14:textId="7FC4995F" w:rsidR="000A628E" w:rsidRDefault="00E52A96" w:rsidP="00081A55">
            <w:pPr>
              <w:spacing w:line="360" w:lineRule="auto"/>
              <w:jc w:val="right"/>
              <w:rPr>
                <w:rFonts w:ascii="Times New Roman" w:hAnsi="Times New Roman" w:cs="Times New Roman"/>
              </w:rPr>
            </w:pPr>
            <w:r>
              <w:rPr>
                <w:rFonts w:ascii="Times New Roman" w:hAnsi="Times New Roman" w:cs="Times New Roman"/>
              </w:rPr>
              <w:t>59,5</w:t>
            </w:r>
          </w:p>
        </w:tc>
      </w:tr>
      <w:tr w:rsidR="00E52A96" w14:paraId="296AB3D6" w14:textId="77777777" w:rsidTr="00081A55">
        <w:tc>
          <w:tcPr>
            <w:tcW w:w="2407" w:type="dxa"/>
          </w:tcPr>
          <w:p w14:paraId="4CE4F0F0" w14:textId="76862529" w:rsidR="00E52A96" w:rsidRDefault="00E52A96" w:rsidP="00E52A96">
            <w:pPr>
              <w:spacing w:line="360" w:lineRule="auto"/>
              <w:jc w:val="both"/>
              <w:rPr>
                <w:rFonts w:ascii="Times New Roman" w:hAnsi="Times New Roman" w:cs="Times New Roman"/>
              </w:rPr>
            </w:pPr>
            <w:r w:rsidRPr="000A628E">
              <w:rPr>
                <w:rFonts w:ascii="Times New Roman" w:hAnsi="Times New Roman" w:cs="Times New Roman"/>
              </w:rPr>
              <w:t>Lombardia</w:t>
            </w:r>
          </w:p>
        </w:tc>
        <w:tc>
          <w:tcPr>
            <w:tcW w:w="1699" w:type="dxa"/>
          </w:tcPr>
          <w:p w14:paraId="05FBF365" w14:textId="7FFDE75E" w:rsidR="00E52A96" w:rsidRDefault="00E52A96" w:rsidP="00081A55">
            <w:pPr>
              <w:spacing w:line="360" w:lineRule="auto"/>
              <w:jc w:val="right"/>
              <w:rPr>
                <w:rFonts w:ascii="Times New Roman" w:hAnsi="Times New Roman" w:cs="Times New Roman"/>
              </w:rPr>
            </w:pPr>
            <w:r>
              <w:rPr>
                <w:rFonts w:ascii="Times New Roman" w:hAnsi="Times New Roman" w:cs="Times New Roman"/>
              </w:rPr>
              <w:t>1.544</w:t>
            </w:r>
          </w:p>
        </w:tc>
        <w:tc>
          <w:tcPr>
            <w:tcW w:w="1701" w:type="dxa"/>
          </w:tcPr>
          <w:p w14:paraId="2DB512C1" w14:textId="2E8A8A52" w:rsidR="00E52A96" w:rsidRDefault="00E52A96" w:rsidP="00081A55">
            <w:pPr>
              <w:spacing w:line="360" w:lineRule="auto"/>
              <w:jc w:val="right"/>
              <w:rPr>
                <w:rFonts w:ascii="Times New Roman" w:hAnsi="Times New Roman" w:cs="Times New Roman"/>
              </w:rPr>
            </w:pPr>
            <w:r>
              <w:rPr>
                <w:rFonts w:ascii="Times New Roman" w:hAnsi="Times New Roman" w:cs="Times New Roman"/>
              </w:rPr>
              <w:t>515</w:t>
            </w:r>
          </w:p>
        </w:tc>
        <w:tc>
          <w:tcPr>
            <w:tcW w:w="1276" w:type="dxa"/>
          </w:tcPr>
          <w:p w14:paraId="169D3E46" w14:textId="5EE61872" w:rsidR="00E52A96" w:rsidRDefault="00E52A96" w:rsidP="00081A55">
            <w:pPr>
              <w:spacing w:line="360" w:lineRule="auto"/>
              <w:jc w:val="right"/>
              <w:rPr>
                <w:rFonts w:ascii="Times New Roman" w:hAnsi="Times New Roman" w:cs="Times New Roman"/>
              </w:rPr>
            </w:pPr>
            <w:r>
              <w:rPr>
                <w:rFonts w:ascii="Times New Roman" w:hAnsi="Times New Roman" w:cs="Times New Roman"/>
              </w:rPr>
              <w:t>33,4</w:t>
            </w:r>
          </w:p>
        </w:tc>
      </w:tr>
      <w:tr w:rsidR="00E52A96" w14:paraId="575760ED" w14:textId="77777777" w:rsidTr="00081A55">
        <w:tc>
          <w:tcPr>
            <w:tcW w:w="2407" w:type="dxa"/>
          </w:tcPr>
          <w:p w14:paraId="2441B47C" w14:textId="3051397A"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Trentino-Alto Adige</w:t>
            </w:r>
          </w:p>
        </w:tc>
        <w:tc>
          <w:tcPr>
            <w:tcW w:w="1699" w:type="dxa"/>
          </w:tcPr>
          <w:p w14:paraId="07B5B4EB" w14:textId="6E17DE0D" w:rsidR="00E52A96" w:rsidRDefault="00E52A96" w:rsidP="00081A55">
            <w:pPr>
              <w:spacing w:line="360" w:lineRule="auto"/>
              <w:jc w:val="right"/>
              <w:rPr>
                <w:rFonts w:ascii="Times New Roman" w:hAnsi="Times New Roman" w:cs="Times New Roman"/>
              </w:rPr>
            </w:pPr>
            <w:r>
              <w:rPr>
                <w:rFonts w:ascii="Times New Roman" w:hAnsi="Times New Roman" w:cs="Times New Roman"/>
              </w:rPr>
              <w:t>333</w:t>
            </w:r>
          </w:p>
        </w:tc>
        <w:tc>
          <w:tcPr>
            <w:tcW w:w="1701" w:type="dxa"/>
          </w:tcPr>
          <w:p w14:paraId="60EA53DE" w14:textId="37E3A7FE" w:rsidR="00E52A96" w:rsidRDefault="00E52A96" w:rsidP="00081A55">
            <w:pPr>
              <w:spacing w:line="360" w:lineRule="auto"/>
              <w:jc w:val="right"/>
              <w:rPr>
                <w:rFonts w:ascii="Times New Roman" w:hAnsi="Times New Roman" w:cs="Times New Roman"/>
              </w:rPr>
            </w:pPr>
            <w:r>
              <w:rPr>
                <w:rFonts w:ascii="Times New Roman" w:hAnsi="Times New Roman" w:cs="Times New Roman"/>
              </w:rPr>
              <w:t>275</w:t>
            </w:r>
          </w:p>
        </w:tc>
        <w:tc>
          <w:tcPr>
            <w:tcW w:w="1276" w:type="dxa"/>
          </w:tcPr>
          <w:p w14:paraId="18A043D7" w14:textId="645A49F5" w:rsidR="00E52A96" w:rsidRDefault="00E52A96" w:rsidP="00081A55">
            <w:pPr>
              <w:spacing w:line="360" w:lineRule="auto"/>
              <w:jc w:val="right"/>
              <w:rPr>
                <w:rFonts w:ascii="Times New Roman" w:hAnsi="Times New Roman" w:cs="Times New Roman"/>
              </w:rPr>
            </w:pPr>
            <w:r>
              <w:rPr>
                <w:rFonts w:ascii="Times New Roman" w:hAnsi="Times New Roman" w:cs="Times New Roman"/>
              </w:rPr>
              <w:t>82,6</w:t>
            </w:r>
          </w:p>
        </w:tc>
      </w:tr>
      <w:tr w:rsidR="00E52A96" w14:paraId="28331AAA" w14:textId="77777777" w:rsidTr="00081A55">
        <w:tc>
          <w:tcPr>
            <w:tcW w:w="2407" w:type="dxa"/>
          </w:tcPr>
          <w:p w14:paraId="0752DEA4" w14:textId="7FD308C3"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Veneto</w:t>
            </w:r>
          </w:p>
        </w:tc>
        <w:tc>
          <w:tcPr>
            <w:tcW w:w="1699" w:type="dxa"/>
          </w:tcPr>
          <w:p w14:paraId="1133F227" w14:textId="58E6BE3A" w:rsidR="00E52A96" w:rsidRDefault="00E52A96" w:rsidP="00081A55">
            <w:pPr>
              <w:spacing w:line="360" w:lineRule="auto"/>
              <w:jc w:val="right"/>
              <w:rPr>
                <w:rFonts w:ascii="Times New Roman" w:hAnsi="Times New Roman" w:cs="Times New Roman"/>
              </w:rPr>
            </w:pPr>
            <w:r>
              <w:rPr>
                <w:rFonts w:ascii="Times New Roman" w:hAnsi="Times New Roman" w:cs="Times New Roman"/>
              </w:rPr>
              <w:t>581</w:t>
            </w:r>
          </w:p>
        </w:tc>
        <w:tc>
          <w:tcPr>
            <w:tcW w:w="1701" w:type="dxa"/>
          </w:tcPr>
          <w:p w14:paraId="10DD7AF8" w14:textId="4EFC3CE1" w:rsidR="00E52A96" w:rsidRDefault="00E52A96" w:rsidP="00081A55">
            <w:pPr>
              <w:spacing w:line="360" w:lineRule="auto"/>
              <w:jc w:val="right"/>
              <w:rPr>
                <w:rFonts w:ascii="Times New Roman" w:hAnsi="Times New Roman" w:cs="Times New Roman"/>
              </w:rPr>
            </w:pPr>
            <w:r>
              <w:rPr>
                <w:rFonts w:ascii="Times New Roman" w:hAnsi="Times New Roman" w:cs="Times New Roman"/>
              </w:rPr>
              <w:t>191</w:t>
            </w:r>
          </w:p>
        </w:tc>
        <w:tc>
          <w:tcPr>
            <w:tcW w:w="1276" w:type="dxa"/>
          </w:tcPr>
          <w:p w14:paraId="1BC3236F" w14:textId="7752848F" w:rsidR="00E52A96" w:rsidRPr="00637CC8" w:rsidRDefault="00E52A96" w:rsidP="00081A55">
            <w:pPr>
              <w:spacing w:line="360" w:lineRule="auto"/>
              <w:jc w:val="right"/>
              <w:rPr>
                <w:rFonts w:ascii="Times New Roman" w:hAnsi="Times New Roman" w:cs="Times New Roman"/>
              </w:rPr>
            </w:pPr>
            <w:r w:rsidRPr="00637CC8">
              <w:rPr>
                <w:rFonts w:ascii="Times New Roman" w:hAnsi="Times New Roman" w:cs="Times New Roman"/>
              </w:rPr>
              <w:t>32,9</w:t>
            </w:r>
          </w:p>
        </w:tc>
      </w:tr>
      <w:tr w:rsidR="00E52A96" w14:paraId="0D250AA7" w14:textId="77777777" w:rsidTr="00081A55">
        <w:tc>
          <w:tcPr>
            <w:tcW w:w="2407" w:type="dxa"/>
          </w:tcPr>
          <w:p w14:paraId="44E7CEF4" w14:textId="3D27B7F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Friuli-Venezia Giulia</w:t>
            </w:r>
          </w:p>
        </w:tc>
        <w:tc>
          <w:tcPr>
            <w:tcW w:w="1699" w:type="dxa"/>
          </w:tcPr>
          <w:p w14:paraId="0BFB3C4A" w14:textId="70E6D519" w:rsidR="00E52A96" w:rsidRDefault="00E52A96" w:rsidP="00081A55">
            <w:pPr>
              <w:spacing w:line="360" w:lineRule="auto"/>
              <w:jc w:val="right"/>
              <w:rPr>
                <w:rFonts w:ascii="Times New Roman" w:hAnsi="Times New Roman" w:cs="Times New Roman"/>
              </w:rPr>
            </w:pPr>
            <w:r>
              <w:rPr>
                <w:rFonts w:ascii="Times New Roman" w:hAnsi="Times New Roman" w:cs="Times New Roman"/>
              </w:rPr>
              <w:t>218</w:t>
            </w:r>
          </w:p>
        </w:tc>
        <w:tc>
          <w:tcPr>
            <w:tcW w:w="1701" w:type="dxa"/>
          </w:tcPr>
          <w:p w14:paraId="40448799" w14:textId="67B20617" w:rsidR="00E52A96" w:rsidRDefault="00E52A96" w:rsidP="00081A55">
            <w:pPr>
              <w:spacing w:line="360" w:lineRule="auto"/>
              <w:jc w:val="right"/>
              <w:rPr>
                <w:rFonts w:ascii="Times New Roman" w:hAnsi="Times New Roman" w:cs="Times New Roman"/>
              </w:rPr>
            </w:pPr>
            <w:r>
              <w:rPr>
                <w:rFonts w:ascii="Times New Roman" w:hAnsi="Times New Roman" w:cs="Times New Roman"/>
              </w:rPr>
              <w:t>86</w:t>
            </w:r>
          </w:p>
        </w:tc>
        <w:tc>
          <w:tcPr>
            <w:tcW w:w="1276" w:type="dxa"/>
          </w:tcPr>
          <w:p w14:paraId="2012D293" w14:textId="5B3B8F09" w:rsidR="00E52A96" w:rsidRDefault="00E52A96" w:rsidP="00081A55">
            <w:pPr>
              <w:spacing w:line="360" w:lineRule="auto"/>
              <w:jc w:val="right"/>
              <w:rPr>
                <w:rFonts w:ascii="Times New Roman" w:hAnsi="Times New Roman" w:cs="Times New Roman"/>
              </w:rPr>
            </w:pPr>
            <w:r>
              <w:rPr>
                <w:rFonts w:ascii="Times New Roman" w:hAnsi="Times New Roman" w:cs="Times New Roman"/>
              </w:rPr>
              <w:t>39,4</w:t>
            </w:r>
          </w:p>
        </w:tc>
      </w:tr>
      <w:tr w:rsidR="00E52A96" w14:paraId="6BE37855" w14:textId="77777777" w:rsidTr="00081A55">
        <w:tc>
          <w:tcPr>
            <w:tcW w:w="2407" w:type="dxa"/>
          </w:tcPr>
          <w:p w14:paraId="7186DDD3" w14:textId="71834674"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Liguria</w:t>
            </w:r>
          </w:p>
        </w:tc>
        <w:tc>
          <w:tcPr>
            <w:tcW w:w="1699" w:type="dxa"/>
          </w:tcPr>
          <w:p w14:paraId="5DF8D9B1" w14:textId="741C5FE6" w:rsidR="00E52A96" w:rsidRDefault="00E52A96" w:rsidP="00081A55">
            <w:pPr>
              <w:spacing w:line="360" w:lineRule="auto"/>
              <w:jc w:val="right"/>
              <w:rPr>
                <w:rFonts w:ascii="Times New Roman" w:hAnsi="Times New Roman" w:cs="Times New Roman"/>
              </w:rPr>
            </w:pPr>
            <w:r>
              <w:rPr>
                <w:rFonts w:ascii="Times New Roman" w:hAnsi="Times New Roman" w:cs="Times New Roman"/>
              </w:rPr>
              <w:t>235</w:t>
            </w:r>
          </w:p>
        </w:tc>
        <w:tc>
          <w:tcPr>
            <w:tcW w:w="1701" w:type="dxa"/>
          </w:tcPr>
          <w:p w14:paraId="2EC446D3" w14:textId="05892C14" w:rsidR="00E52A96" w:rsidRDefault="00E52A96" w:rsidP="00081A55">
            <w:pPr>
              <w:spacing w:line="360" w:lineRule="auto"/>
              <w:jc w:val="right"/>
              <w:rPr>
                <w:rFonts w:ascii="Times New Roman" w:hAnsi="Times New Roman" w:cs="Times New Roman"/>
              </w:rPr>
            </w:pPr>
            <w:r>
              <w:rPr>
                <w:rFonts w:ascii="Times New Roman" w:hAnsi="Times New Roman" w:cs="Times New Roman"/>
              </w:rPr>
              <w:t>106</w:t>
            </w:r>
          </w:p>
        </w:tc>
        <w:tc>
          <w:tcPr>
            <w:tcW w:w="1276" w:type="dxa"/>
          </w:tcPr>
          <w:p w14:paraId="3ADDD93B" w14:textId="37210FE4" w:rsidR="00E52A96" w:rsidRDefault="00E52A96" w:rsidP="00081A55">
            <w:pPr>
              <w:spacing w:line="360" w:lineRule="auto"/>
              <w:jc w:val="right"/>
              <w:rPr>
                <w:rFonts w:ascii="Times New Roman" w:hAnsi="Times New Roman" w:cs="Times New Roman"/>
              </w:rPr>
            </w:pPr>
            <w:r>
              <w:rPr>
                <w:rFonts w:ascii="Times New Roman" w:hAnsi="Times New Roman" w:cs="Times New Roman"/>
              </w:rPr>
              <w:t>45,1</w:t>
            </w:r>
          </w:p>
        </w:tc>
      </w:tr>
      <w:tr w:rsidR="00E52A96" w14:paraId="333BA35E" w14:textId="77777777" w:rsidTr="00081A55">
        <w:tc>
          <w:tcPr>
            <w:tcW w:w="2407" w:type="dxa"/>
          </w:tcPr>
          <w:p w14:paraId="3055070B" w14:textId="6C47476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Emilia-Romagna</w:t>
            </w:r>
          </w:p>
        </w:tc>
        <w:tc>
          <w:tcPr>
            <w:tcW w:w="1699" w:type="dxa"/>
          </w:tcPr>
          <w:p w14:paraId="48FBFF98" w14:textId="65A97F55" w:rsidR="00E52A96" w:rsidRDefault="00E52A96" w:rsidP="00081A55">
            <w:pPr>
              <w:spacing w:line="360" w:lineRule="auto"/>
              <w:jc w:val="right"/>
              <w:rPr>
                <w:rFonts w:ascii="Times New Roman" w:hAnsi="Times New Roman" w:cs="Times New Roman"/>
              </w:rPr>
            </w:pPr>
            <w:r>
              <w:rPr>
                <w:rFonts w:ascii="Times New Roman" w:hAnsi="Times New Roman" w:cs="Times New Roman"/>
              </w:rPr>
              <w:t>348</w:t>
            </w:r>
          </w:p>
        </w:tc>
        <w:tc>
          <w:tcPr>
            <w:tcW w:w="1701" w:type="dxa"/>
          </w:tcPr>
          <w:p w14:paraId="068958D1" w14:textId="6301C0B0" w:rsidR="00E52A96" w:rsidRDefault="00E52A96" w:rsidP="00081A55">
            <w:pPr>
              <w:spacing w:line="360" w:lineRule="auto"/>
              <w:jc w:val="right"/>
              <w:rPr>
                <w:rFonts w:ascii="Times New Roman" w:hAnsi="Times New Roman" w:cs="Times New Roman"/>
              </w:rPr>
            </w:pPr>
            <w:r>
              <w:rPr>
                <w:rFonts w:ascii="Times New Roman" w:hAnsi="Times New Roman" w:cs="Times New Roman"/>
              </w:rPr>
              <w:t>149</w:t>
            </w:r>
          </w:p>
        </w:tc>
        <w:tc>
          <w:tcPr>
            <w:tcW w:w="1276" w:type="dxa"/>
          </w:tcPr>
          <w:p w14:paraId="5E21014C" w14:textId="6D535A3C" w:rsidR="00E52A96" w:rsidRDefault="00E52A96" w:rsidP="00081A55">
            <w:pPr>
              <w:spacing w:line="360" w:lineRule="auto"/>
              <w:jc w:val="right"/>
              <w:rPr>
                <w:rFonts w:ascii="Times New Roman" w:hAnsi="Times New Roman" w:cs="Times New Roman"/>
              </w:rPr>
            </w:pPr>
            <w:r>
              <w:rPr>
                <w:rFonts w:ascii="Times New Roman" w:hAnsi="Times New Roman" w:cs="Times New Roman"/>
              </w:rPr>
              <w:t>42,8</w:t>
            </w:r>
          </w:p>
        </w:tc>
      </w:tr>
      <w:tr w:rsidR="00E52A96" w14:paraId="1C807FA3" w14:textId="77777777" w:rsidTr="00081A55">
        <w:tc>
          <w:tcPr>
            <w:tcW w:w="2407" w:type="dxa"/>
          </w:tcPr>
          <w:p w14:paraId="43DD8732" w14:textId="322C4F6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Toscana</w:t>
            </w:r>
          </w:p>
        </w:tc>
        <w:tc>
          <w:tcPr>
            <w:tcW w:w="1699" w:type="dxa"/>
          </w:tcPr>
          <w:p w14:paraId="249873A4" w14:textId="2DB87DC1" w:rsidR="00E52A96" w:rsidRDefault="00E52A96" w:rsidP="00081A55">
            <w:pPr>
              <w:spacing w:line="360" w:lineRule="auto"/>
              <w:jc w:val="right"/>
              <w:rPr>
                <w:rFonts w:ascii="Times New Roman" w:hAnsi="Times New Roman" w:cs="Times New Roman"/>
              </w:rPr>
            </w:pPr>
            <w:r>
              <w:rPr>
                <w:rFonts w:ascii="Times New Roman" w:hAnsi="Times New Roman" w:cs="Times New Roman"/>
              </w:rPr>
              <w:t>287</w:t>
            </w:r>
          </w:p>
        </w:tc>
        <w:tc>
          <w:tcPr>
            <w:tcW w:w="1701" w:type="dxa"/>
          </w:tcPr>
          <w:p w14:paraId="07991254" w14:textId="10E13F54" w:rsidR="00E52A96" w:rsidRDefault="00E52A96" w:rsidP="00081A55">
            <w:pPr>
              <w:spacing w:line="360" w:lineRule="auto"/>
              <w:jc w:val="right"/>
              <w:rPr>
                <w:rFonts w:ascii="Times New Roman" w:hAnsi="Times New Roman" w:cs="Times New Roman"/>
              </w:rPr>
            </w:pPr>
            <w:r>
              <w:rPr>
                <w:rFonts w:ascii="Times New Roman" w:hAnsi="Times New Roman" w:cs="Times New Roman"/>
              </w:rPr>
              <w:t>128</w:t>
            </w:r>
          </w:p>
        </w:tc>
        <w:tc>
          <w:tcPr>
            <w:tcW w:w="1276" w:type="dxa"/>
          </w:tcPr>
          <w:p w14:paraId="1660D964" w14:textId="6190DCD6" w:rsidR="00E52A96" w:rsidRDefault="00E52A96" w:rsidP="00081A55">
            <w:pPr>
              <w:spacing w:line="360" w:lineRule="auto"/>
              <w:jc w:val="right"/>
              <w:rPr>
                <w:rFonts w:ascii="Times New Roman" w:hAnsi="Times New Roman" w:cs="Times New Roman"/>
              </w:rPr>
            </w:pPr>
            <w:r>
              <w:rPr>
                <w:rFonts w:ascii="Times New Roman" w:hAnsi="Times New Roman" w:cs="Times New Roman"/>
              </w:rPr>
              <w:t>44,6</w:t>
            </w:r>
          </w:p>
        </w:tc>
      </w:tr>
      <w:tr w:rsidR="00E52A96" w14:paraId="5542060E" w14:textId="77777777" w:rsidTr="00081A55">
        <w:tc>
          <w:tcPr>
            <w:tcW w:w="2407" w:type="dxa"/>
          </w:tcPr>
          <w:p w14:paraId="4FFC35C4" w14:textId="1FAFF4D0"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Umbria</w:t>
            </w:r>
          </w:p>
        </w:tc>
        <w:tc>
          <w:tcPr>
            <w:tcW w:w="1699" w:type="dxa"/>
          </w:tcPr>
          <w:p w14:paraId="19A785F5" w14:textId="1B6C10B4" w:rsidR="00E52A96" w:rsidRDefault="00E52A96" w:rsidP="00081A55">
            <w:pPr>
              <w:spacing w:line="360" w:lineRule="auto"/>
              <w:jc w:val="right"/>
              <w:rPr>
                <w:rFonts w:ascii="Times New Roman" w:hAnsi="Times New Roman" w:cs="Times New Roman"/>
              </w:rPr>
            </w:pPr>
            <w:r>
              <w:rPr>
                <w:rFonts w:ascii="Times New Roman" w:hAnsi="Times New Roman" w:cs="Times New Roman"/>
              </w:rPr>
              <w:t>92</w:t>
            </w:r>
          </w:p>
        </w:tc>
        <w:tc>
          <w:tcPr>
            <w:tcW w:w="1701" w:type="dxa"/>
          </w:tcPr>
          <w:p w14:paraId="4ACAD51B" w14:textId="1F03FD14" w:rsidR="00E52A96" w:rsidRDefault="00E52A96" w:rsidP="00081A55">
            <w:pPr>
              <w:spacing w:line="360" w:lineRule="auto"/>
              <w:jc w:val="right"/>
              <w:rPr>
                <w:rFonts w:ascii="Times New Roman" w:hAnsi="Times New Roman" w:cs="Times New Roman"/>
              </w:rPr>
            </w:pPr>
            <w:r>
              <w:rPr>
                <w:rFonts w:ascii="Times New Roman" w:hAnsi="Times New Roman" w:cs="Times New Roman"/>
              </w:rPr>
              <w:t>61</w:t>
            </w:r>
          </w:p>
        </w:tc>
        <w:tc>
          <w:tcPr>
            <w:tcW w:w="1276" w:type="dxa"/>
          </w:tcPr>
          <w:p w14:paraId="625E4320" w14:textId="3E86DB95" w:rsidR="00E52A96" w:rsidRDefault="00E52A96" w:rsidP="00081A55">
            <w:pPr>
              <w:spacing w:line="360" w:lineRule="auto"/>
              <w:jc w:val="right"/>
              <w:rPr>
                <w:rFonts w:ascii="Times New Roman" w:hAnsi="Times New Roman" w:cs="Times New Roman"/>
              </w:rPr>
            </w:pPr>
            <w:r>
              <w:rPr>
                <w:rFonts w:ascii="Times New Roman" w:hAnsi="Times New Roman" w:cs="Times New Roman"/>
              </w:rPr>
              <w:t>66,3</w:t>
            </w:r>
          </w:p>
        </w:tc>
      </w:tr>
      <w:tr w:rsidR="00E52A96" w14:paraId="158102F1" w14:textId="77777777" w:rsidTr="00081A55">
        <w:tc>
          <w:tcPr>
            <w:tcW w:w="2407" w:type="dxa"/>
          </w:tcPr>
          <w:p w14:paraId="25480355" w14:textId="0EE07DA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Marche</w:t>
            </w:r>
          </w:p>
        </w:tc>
        <w:tc>
          <w:tcPr>
            <w:tcW w:w="1699" w:type="dxa"/>
          </w:tcPr>
          <w:p w14:paraId="56B4912B" w14:textId="0AC98AC6" w:rsidR="00E52A96" w:rsidRDefault="00E52A96" w:rsidP="00081A55">
            <w:pPr>
              <w:spacing w:line="360" w:lineRule="auto"/>
              <w:jc w:val="right"/>
              <w:rPr>
                <w:rFonts w:ascii="Times New Roman" w:hAnsi="Times New Roman" w:cs="Times New Roman"/>
              </w:rPr>
            </w:pPr>
            <w:r>
              <w:rPr>
                <w:rFonts w:ascii="Times New Roman" w:hAnsi="Times New Roman" w:cs="Times New Roman"/>
              </w:rPr>
              <w:t>239</w:t>
            </w:r>
          </w:p>
        </w:tc>
        <w:tc>
          <w:tcPr>
            <w:tcW w:w="1701" w:type="dxa"/>
          </w:tcPr>
          <w:p w14:paraId="68320EC9" w14:textId="26C5A53D" w:rsidR="00E52A96" w:rsidRDefault="00E52A96" w:rsidP="00081A55">
            <w:pPr>
              <w:spacing w:line="360" w:lineRule="auto"/>
              <w:jc w:val="right"/>
              <w:rPr>
                <w:rFonts w:ascii="Times New Roman" w:hAnsi="Times New Roman" w:cs="Times New Roman"/>
              </w:rPr>
            </w:pPr>
            <w:r>
              <w:rPr>
                <w:rFonts w:ascii="Times New Roman" w:hAnsi="Times New Roman" w:cs="Times New Roman"/>
              </w:rPr>
              <w:t>118</w:t>
            </w:r>
          </w:p>
        </w:tc>
        <w:tc>
          <w:tcPr>
            <w:tcW w:w="1276" w:type="dxa"/>
          </w:tcPr>
          <w:p w14:paraId="636E3200" w14:textId="38221731" w:rsidR="00E52A96" w:rsidRDefault="00E52A96" w:rsidP="00081A55">
            <w:pPr>
              <w:spacing w:line="360" w:lineRule="auto"/>
              <w:jc w:val="right"/>
              <w:rPr>
                <w:rFonts w:ascii="Times New Roman" w:hAnsi="Times New Roman" w:cs="Times New Roman"/>
              </w:rPr>
            </w:pPr>
            <w:r>
              <w:rPr>
                <w:rFonts w:ascii="Times New Roman" w:hAnsi="Times New Roman" w:cs="Times New Roman"/>
              </w:rPr>
              <w:t>49,4</w:t>
            </w:r>
          </w:p>
        </w:tc>
      </w:tr>
      <w:tr w:rsidR="00E52A96" w14:paraId="049446F5" w14:textId="77777777" w:rsidTr="00081A55">
        <w:tc>
          <w:tcPr>
            <w:tcW w:w="2407" w:type="dxa"/>
          </w:tcPr>
          <w:p w14:paraId="52F5442B" w14:textId="7D7C08E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Lazio</w:t>
            </w:r>
          </w:p>
        </w:tc>
        <w:tc>
          <w:tcPr>
            <w:tcW w:w="1699" w:type="dxa"/>
          </w:tcPr>
          <w:p w14:paraId="26451664" w14:textId="374446FC" w:rsidR="00E52A96" w:rsidRDefault="00E52A96" w:rsidP="00081A55">
            <w:pPr>
              <w:spacing w:line="360" w:lineRule="auto"/>
              <w:jc w:val="right"/>
              <w:rPr>
                <w:rFonts w:ascii="Times New Roman" w:hAnsi="Times New Roman" w:cs="Times New Roman"/>
              </w:rPr>
            </w:pPr>
            <w:r>
              <w:rPr>
                <w:rFonts w:ascii="Times New Roman" w:hAnsi="Times New Roman" w:cs="Times New Roman"/>
              </w:rPr>
              <w:t>378</w:t>
            </w:r>
          </w:p>
        </w:tc>
        <w:tc>
          <w:tcPr>
            <w:tcW w:w="1701" w:type="dxa"/>
          </w:tcPr>
          <w:p w14:paraId="4378BBF7" w14:textId="13AB7E86" w:rsidR="00E52A96" w:rsidRDefault="00E52A96" w:rsidP="00081A55">
            <w:pPr>
              <w:spacing w:line="360" w:lineRule="auto"/>
              <w:jc w:val="right"/>
              <w:rPr>
                <w:rFonts w:ascii="Times New Roman" w:hAnsi="Times New Roman" w:cs="Times New Roman"/>
              </w:rPr>
            </w:pPr>
            <w:r>
              <w:rPr>
                <w:rFonts w:ascii="Times New Roman" w:hAnsi="Times New Roman" w:cs="Times New Roman"/>
              </w:rPr>
              <w:t>274</w:t>
            </w:r>
          </w:p>
        </w:tc>
        <w:tc>
          <w:tcPr>
            <w:tcW w:w="1276" w:type="dxa"/>
          </w:tcPr>
          <w:p w14:paraId="09CFD112" w14:textId="4E71C414" w:rsidR="00E52A96" w:rsidRDefault="00E52A96" w:rsidP="00081A55">
            <w:pPr>
              <w:spacing w:line="360" w:lineRule="auto"/>
              <w:jc w:val="right"/>
              <w:rPr>
                <w:rFonts w:ascii="Times New Roman" w:hAnsi="Times New Roman" w:cs="Times New Roman"/>
              </w:rPr>
            </w:pPr>
            <w:r>
              <w:rPr>
                <w:rFonts w:ascii="Times New Roman" w:hAnsi="Times New Roman" w:cs="Times New Roman"/>
              </w:rPr>
              <w:t>72,5</w:t>
            </w:r>
          </w:p>
        </w:tc>
      </w:tr>
      <w:tr w:rsidR="00E52A96" w14:paraId="0A14C402" w14:textId="77777777" w:rsidTr="00081A55">
        <w:tc>
          <w:tcPr>
            <w:tcW w:w="2407" w:type="dxa"/>
          </w:tcPr>
          <w:p w14:paraId="28C2EBFD" w14:textId="39E7CE64"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Abruzzo</w:t>
            </w:r>
          </w:p>
        </w:tc>
        <w:tc>
          <w:tcPr>
            <w:tcW w:w="1699" w:type="dxa"/>
          </w:tcPr>
          <w:p w14:paraId="58E4091F" w14:textId="4912EA2B" w:rsidR="00E52A96" w:rsidRDefault="00E52A96" w:rsidP="00081A55">
            <w:pPr>
              <w:spacing w:line="360" w:lineRule="auto"/>
              <w:jc w:val="right"/>
              <w:rPr>
                <w:rFonts w:ascii="Times New Roman" w:hAnsi="Times New Roman" w:cs="Times New Roman"/>
              </w:rPr>
            </w:pPr>
            <w:r>
              <w:rPr>
                <w:rFonts w:ascii="Times New Roman" w:hAnsi="Times New Roman" w:cs="Times New Roman"/>
              </w:rPr>
              <w:t>305</w:t>
            </w:r>
          </w:p>
        </w:tc>
        <w:tc>
          <w:tcPr>
            <w:tcW w:w="1701" w:type="dxa"/>
          </w:tcPr>
          <w:p w14:paraId="3F3EDDA7" w14:textId="2575C4AE" w:rsidR="00E52A96" w:rsidRDefault="00E52A96" w:rsidP="00081A55">
            <w:pPr>
              <w:spacing w:line="360" w:lineRule="auto"/>
              <w:jc w:val="right"/>
              <w:rPr>
                <w:rFonts w:ascii="Times New Roman" w:hAnsi="Times New Roman" w:cs="Times New Roman"/>
              </w:rPr>
            </w:pPr>
            <w:r>
              <w:rPr>
                <w:rFonts w:ascii="Times New Roman" w:hAnsi="Times New Roman" w:cs="Times New Roman"/>
              </w:rPr>
              <w:t>216</w:t>
            </w:r>
          </w:p>
        </w:tc>
        <w:tc>
          <w:tcPr>
            <w:tcW w:w="1276" w:type="dxa"/>
          </w:tcPr>
          <w:p w14:paraId="69CA1F04" w14:textId="4A01F2E6" w:rsidR="00E52A96" w:rsidRDefault="00E52A96" w:rsidP="00081A55">
            <w:pPr>
              <w:spacing w:line="360" w:lineRule="auto"/>
              <w:jc w:val="right"/>
              <w:rPr>
                <w:rFonts w:ascii="Times New Roman" w:hAnsi="Times New Roman" w:cs="Times New Roman"/>
              </w:rPr>
            </w:pPr>
            <w:r>
              <w:rPr>
                <w:rFonts w:ascii="Times New Roman" w:hAnsi="Times New Roman" w:cs="Times New Roman"/>
              </w:rPr>
              <w:t>70,8</w:t>
            </w:r>
          </w:p>
        </w:tc>
      </w:tr>
      <w:tr w:rsidR="00E52A96" w14:paraId="40EC6228" w14:textId="77777777" w:rsidTr="00081A55">
        <w:tc>
          <w:tcPr>
            <w:tcW w:w="2407" w:type="dxa"/>
          </w:tcPr>
          <w:p w14:paraId="1667E8A6" w14:textId="0CE5AAAC"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Molise</w:t>
            </w:r>
          </w:p>
        </w:tc>
        <w:tc>
          <w:tcPr>
            <w:tcW w:w="1699" w:type="dxa"/>
          </w:tcPr>
          <w:p w14:paraId="2B54E5F9" w14:textId="0229DD3B" w:rsidR="00E52A96" w:rsidRDefault="00E52A96" w:rsidP="00081A55">
            <w:pPr>
              <w:spacing w:line="360" w:lineRule="auto"/>
              <w:jc w:val="right"/>
              <w:rPr>
                <w:rFonts w:ascii="Times New Roman" w:hAnsi="Times New Roman" w:cs="Times New Roman"/>
              </w:rPr>
            </w:pPr>
            <w:r>
              <w:rPr>
                <w:rFonts w:ascii="Times New Roman" w:hAnsi="Times New Roman" w:cs="Times New Roman"/>
              </w:rPr>
              <w:t>136</w:t>
            </w:r>
          </w:p>
        </w:tc>
        <w:tc>
          <w:tcPr>
            <w:tcW w:w="1701" w:type="dxa"/>
          </w:tcPr>
          <w:p w14:paraId="730747BD" w14:textId="1E51B703" w:rsidR="00E52A96" w:rsidRDefault="00E52A96" w:rsidP="00081A55">
            <w:pPr>
              <w:spacing w:line="360" w:lineRule="auto"/>
              <w:jc w:val="right"/>
              <w:rPr>
                <w:rFonts w:ascii="Times New Roman" w:hAnsi="Times New Roman" w:cs="Times New Roman"/>
              </w:rPr>
            </w:pPr>
            <w:r>
              <w:rPr>
                <w:rFonts w:ascii="Times New Roman" w:hAnsi="Times New Roman" w:cs="Times New Roman"/>
              </w:rPr>
              <w:t>102</w:t>
            </w:r>
          </w:p>
        </w:tc>
        <w:tc>
          <w:tcPr>
            <w:tcW w:w="1276" w:type="dxa"/>
          </w:tcPr>
          <w:p w14:paraId="79580608" w14:textId="211D60F7" w:rsidR="00E52A96" w:rsidRDefault="00E52A96" w:rsidP="00081A55">
            <w:pPr>
              <w:spacing w:line="360" w:lineRule="auto"/>
              <w:jc w:val="right"/>
              <w:rPr>
                <w:rFonts w:ascii="Times New Roman" w:hAnsi="Times New Roman" w:cs="Times New Roman"/>
              </w:rPr>
            </w:pPr>
            <w:r>
              <w:rPr>
                <w:rFonts w:ascii="Times New Roman" w:hAnsi="Times New Roman" w:cs="Times New Roman"/>
              </w:rPr>
              <w:t>75,0</w:t>
            </w:r>
          </w:p>
        </w:tc>
      </w:tr>
      <w:tr w:rsidR="00E52A96" w14:paraId="24443EDA" w14:textId="77777777" w:rsidTr="00081A55">
        <w:tc>
          <w:tcPr>
            <w:tcW w:w="2407" w:type="dxa"/>
          </w:tcPr>
          <w:p w14:paraId="15A12966" w14:textId="7CCC9949"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Campania</w:t>
            </w:r>
          </w:p>
        </w:tc>
        <w:tc>
          <w:tcPr>
            <w:tcW w:w="1699" w:type="dxa"/>
          </w:tcPr>
          <w:p w14:paraId="62BDF1A3" w14:textId="29EB1C3D" w:rsidR="00E52A96" w:rsidRDefault="00E52A96" w:rsidP="00081A55">
            <w:pPr>
              <w:spacing w:line="360" w:lineRule="auto"/>
              <w:jc w:val="right"/>
              <w:rPr>
                <w:rFonts w:ascii="Times New Roman" w:hAnsi="Times New Roman" w:cs="Times New Roman"/>
              </w:rPr>
            </w:pPr>
            <w:r>
              <w:rPr>
                <w:rFonts w:ascii="Times New Roman" w:hAnsi="Times New Roman" w:cs="Times New Roman"/>
              </w:rPr>
              <w:t>551</w:t>
            </w:r>
          </w:p>
        </w:tc>
        <w:tc>
          <w:tcPr>
            <w:tcW w:w="1701" w:type="dxa"/>
          </w:tcPr>
          <w:p w14:paraId="2BEBF446" w14:textId="76B10127" w:rsidR="00E52A96" w:rsidRDefault="00E52A96" w:rsidP="00081A55">
            <w:pPr>
              <w:spacing w:line="360" w:lineRule="auto"/>
              <w:jc w:val="right"/>
              <w:rPr>
                <w:rFonts w:ascii="Times New Roman" w:hAnsi="Times New Roman" w:cs="Times New Roman"/>
              </w:rPr>
            </w:pPr>
            <w:r>
              <w:rPr>
                <w:rFonts w:ascii="Times New Roman" w:hAnsi="Times New Roman" w:cs="Times New Roman"/>
              </w:rPr>
              <w:t>286</w:t>
            </w:r>
          </w:p>
        </w:tc>
        <w:tc>
          <w:tcPr>
            <w:tcW w:w="1276" w:type="dxa"/>
          </w:tcPr>
          <w:p w14:paraId="1606F727" w14:textId="59BB6D73" w:rsidR="00E52A96" w:rsidRDefault="00E52A96" w:rsidP="00081A55">
            <w:pPr>
              <w:spacing w:line="360" w:lineRule="auto"/>
              <w:jc w:val="right"/>
              <w:rPr>
                <w:rFonts w:ascii="Times New Roman" w:hAnsi="Times New Roman" w:cs="Times New Roman"/>
              </w:rPr>
            </w:pPr>
            <w:r>
              <w:rPr>
                <w:rFonts w:ascii="Times New Roman" w:hAnsi="Times New Roman" w:cs="Times New Roman"/>
              </w:rPr>
              <w:t>51,9</w:t>
            </w:r>
          </w:p>
        </w:tc>
      </w:tr>
      <w:tr w:rsidR="00E52A96" w14:paraId="2469F42A" w14:textId="77777777" w:rsidTr="00081A55">
        <w:tc>
          <w:tcPr>
            <w:tcW w:w="2407" w:type="dxa"/>
          </w:tcPr>
          <w:p w14:paraId="40A8B2AF" w14:textId="088BF898"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Puglia</w:t>
            </w:r>
          </w:p>
        </w:tc>
        <w:tc>
          <w:tcPr>
            <w:tcW w:w="1699" w:type="dxa"/>
          </w:tcPr>
          <w:p w14:paraId="22DBC55C" w14:textId="6648D0B5" w:rsidR="00E52A96" w:rsidRDefault="00E52A96" w:rsidP="00081A55">
            <w:pPr>
              <w:spacing w:line="360" w:lineRule="auto"/>
              <w:jc w:val="right"/>
              <w:rPr>
                <w:rFonts w:ascii="Times New Roman" w:hAnsi="Times New Roman" w:cs="Times New Roman"/>
              </w:rPr>
            </w:pPr>
            <w:r>
              <w:rPr>
                <w:rFonts w:ascii="Times New Roman" w:hAnsi="Times New Roman" w:cs="Times New Roman"/>
              </w:rPr>
              <w:t>258</w:t>
            </w:r>
          </w:p>
        </w:tc>
        <w:tc>
          <w:tcPr>
            <w:tcW w:w="1701" w:type="dxa"/>
          </w:tcPr>
          <w:p w14:paraId="642F0F78" w14:textId="0B0BFD0C" w:rsidR="00E52A96" w:rsidRDefault="00E52A96" w:rsidP="00081A55">
            <w:pPr>
              <w:spacing w:line="360" w:lineRule="auto"/>
              <w:jc w:val="right"/>
              <w:rPr>
                <w:rFonts w:ascii="Times New Roman" w:hAnsi="Times New Roman" w:cs="Times New Roman"/>
              </w:rPr>
            </w:pPr>
            <w:r>
              <w:rPr>
                <w:rFonts w:ascii="Times New Roman" w:hAnsi="Times New Roman" w:cs="Times New Roman"/>
              </w:rPr>
              <w:t>145</w:t>
            </w:r>
          </w:p>
        </w:tc>
        <w:tc>
          <w:tcPr>
            <w:tcW w:w="1276" w:type="dxa"/>
          </w:tcPr>
          <w:p w14:paraId="7C715F82" w14:textId="3050B869" w:rsidR="00E52A96" w:rsidRDefault="00E52A96" w:rsidP="00081A55">
            <w:pPr>
              <w:spacing w:line="360" w:lineRule="auto"/>
              <w:jc w:val="right"/>
              <w:rPr>
                <w:rFonts w:ascii="Times New Roman" w:hAnsi="Times New Roman" w:cs="Times New Roman"/>
              </w:rPr>
            </w:pPr>
            <w:r>
              <w:rPr>
                <w:rFonts w:ascii="Times New Roman" w:hAnsi="Times New Roman" w:cs="Times New Roman"/>
              </w:rPr>
              <w:t>56,2</w:t>
            </w:r>
          </w:p>
        </w:tc>
      </w:tr>
      <w:tr w:rsidR="00E52A96" w14:paraId="06B86E58" w14:textId="77777777" w:rsidTr="00081A55">
        <w:tc>
          <w:tcPr>
            <w:tcW w:w="2407" w:type="dxa"/>
          </w:tcPr>
          <w:p w14:paraId="7D35E9A7" w14:textId="47A316B7"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Basilicata</w:t>
            </w:r>
          </w:p>
        </w:tc>
        <w:tc>
          <w:tcPr>
            <w:tcW w:w="1699" w:type="dxa"/>
          </w:tcPr>
          <w:p w14:paraId="1851B3D1" w14:textId="4A27FEF4" w:rsidR="00E52A96" w:rsidRDefault="00E52A96" w:rsidP="00081A55">
            <w:pPr>
              <w:spacing w:line="360" w:lineRule="auto"/>
              <w:jc w:val="right"/>
              <w:rPr>
                <w:rFonts w:ascii="Times New Roman" w:hAnsi="Times New Roman" w:cs="Times New Roman"/>
              </w:rPr>
            </w:pPr>
            <w:r>
              <w:rPr>
                <w:rFonts w:ascii="Times New Roman" w:hAnsi="Times New Roman" w:cs="Times New Roman"/>
              </w:rPr>
              <w:t>131</w:t>
            </w:r>
          </w:p>
        </w:tc>
        <w:tc>
          <w:tcPr>
            <w:tcW w:w="1701" w:type="dxa"/>
          </w:tcPr>
          <w:p w14:paraId="116C0E0E" w14:textId="28AF2FEC" w:rsidR="00E52A96" w:rsidRDefault="00E52A96" w:rsidP="00081A55">
            <w:pPr>
              <w:spacing w:line="360" w:lineRule="auto"/>
              <w:jc w:val="right"/>
              <w:rPr>
                <w:rFonts w:ascii="Times New Roman" w:hAnsi="Times New Roman" w:cs="Times New Roman"/>
              </w:rPr>
            </w:pPr>
            <w:r>
              <w:rPr>
                <w:rFonts w:ascii="Times New Roman" w:hAnsi="Times New Roman" w:cs="Times New Roman"/>
              </w:rPr>
              <w:t>126</w:t>
            </w:r>
          </w:p>
        </w:tc>
        <w:tc>
          <w:tcPr>
            <w:tcW w:w="1276" w:type="dxa"/>
          </w:tcPr>
          <w:p w14:paraId="7963DA3E" w14:textId="3D0DC04E" w:rsidR="00E52A96" w:rsidRPr="00637CC8" w:rsidRDefault="00E52A96" w:rsidP="00081A55">
            <w:pPr>
              <w:spacing w:line="360" w:lineRule="auto"/>
              <w:jc w:val="right"/>
              <w:rPr>
                <w:rFonts w:ascii="Times New Roman" w:hAnsi="Times New Roman" w:cs="Times New Roman"/>
              </w:rPr>
            </w:pPr>
            <w:r w:rsidRPr="00637CC8">
              <w:rPr>
                <w:rFonts w:ascii="Times New Roman" w:hAnsi="Times New Roman" w:cs="Times New Roman"/>
              </w:rPr>
              <w:t>96,2</w:t>
            </w:r>
          </w:p>
        </w:tc>
      </w:tr>
      <w:tr w:rsidR="00E52A96" w14:paraId="700895A3" w14:textId="77777777" w:rsidTr="00081A55">
        <w:tc>
          <w:tcPr>
            <w:tcW w:w="2407" w:type="dxa"/>
          </w:tcPr>
          <w:p w14:paraId="307CE2FA" w14:textId="3A8F0F04" w:rsidR="00E52A96" w:rsidRPr="000A628E" w:rsidRDefault="00E52A96" w:rsidP="00E52A96">
            <w:pPr>
              <w:spacing w:line="360" w:lineRule="auto"/>
              <w:jc w:val="both"/>
              <w:rPr>
                <w:rFonts w:ascii="Times New Roman" w:hAnsi="Times New Roman" w:cs="Times New Roman"/>
              </w:rPr>
            </w:pPr>
            <w:r w:rsidRPr="000A628E">
              <w:rPr>
                <w:rFonts w:ascii="Times New Roman" w:hAnsi="Times New Roman" w:cs="Times New Roman"/>
              </w:rPr>
              <w:t>Calabria</w:t>
            </w:r>
          </w:p>
        </w:tc>
        <w:tc>
          <w:tcPr>
            <w:tcW w:w="1699" w:type="dxa"/>
          </w:tcPr>
          <w:p w14:paraId="421C638B" w14:textId="16BFC0F4" w:rsidR="00E52A96" w:rsidRDefault="00081A55" w:rsidP="00081A55">
            <w:pPr>
              <w:spacing w:line="360" w:lineRule="auto"/>
              <w:jc w:val="right"/>
              <w:rPr>
                <w:rFonts w:ascii="Times New Roman" w:hAnsi="Times New Roman" w:cs="Times New Roman"/>
              </w:rPr>
            </w:pPr>
            <w:r>
              <w:rPr>
                <w:rFonts w:ascii="Times New Roman" w:hAnsi="Times New Roman" w:cs="Times New Roman"/>
              </w:rPr>
              <w:t>409</w:t>
            </w:r>
          </w:p>
        </w:tc>
        <w:tc>
          <w:tcPr>
            <w:tcW w:w="1701" w:type="dxa"/>
          </w:tcPr>
          <w:p w14:paraId="5623935A" w14:textId="7A9C9972" w:rsidR="00E52A96" w:rsidRDefault="00081A55" w:rsidP="00081A55">
            <w:pPr>
              <w:spacing w:line="360" w:lineRule="auto"/>
              <w:jc w:val="right"/>
              <w:rPr>
                <w:rFonts w:ascii="Times New Roman" w:hAnsi="Times New Roman" w:cs="Times New Roman"/>
              </w:rPr>
            </w:pPr>
            <w:r>
              <w:rPr>
                <w:rFonts w:ascii="Times New Roman" w:hAnsi="Times New Roman" w:cs="Times New Roman"/>
              </w:rPr>
              <w:t>318</w:t>
            </w:r>
          </w:p>
        </w:tc>
        <w:tc>
          <w:tcPr>
            <w:tcW w:w="1276" w:type="dxa"/>
          </w:tcPr>
          <w:p w14:paraId="2DD8C4F4" w14:textId="0385AEC9" w:rsidR="00E52A96" w:rsidRDefault="00081A55" w:rsidP="00081A55">
            <w:pPr>
              <w:spacing w:line="360" w:lineRule="auto"/>
              <w:jc w:val="right"/>
              <w:rPr>
                <w:rFonts w:ascii="Times New Roman" w:hAnsi="Times New Roman" w:cs="Times New Roman"/>
              </w:rPr>
            </w:pPr>
            <w:r>
              <w:rPr>
                <w:rFonts w:ascii="Times New Roman" w:hAnsi="Times New Roman" w:cs="Times New Roman"/>
              </w:rPr>
              <w:t>77,8</w:t>
            </w:r>
          </w:p>
        </w:tc>
      </w:tr>
      <w:tr w:rsidR="00E52A96" w14:paraId="7A930082" w14:textId="77777777" w:rsidTr="00081A55">
        <w:tc>
          <w:tcPr>
            <w:tcW w:w="2407" w:type="dxa"/>
          </w:tcPr>
          <w:p w14:paraId="73361C0A" w14:textId="38518A36" w:rsidR="00E52A96" w:rsidRPr="000A628E" w:rsidRDefault="00081A55" w:rsidP="00E52A96">
            <w:pPr>
              <w:spacing w:line="360" w:lineRule="auto"/>
              <w:jc w:val="both"/>
              <w:rPr>
                <w:rFonts w:ascii="Times New Roman" w:hAnsi="Times New Roman" w:cs="Times New Roman"/>
              </w:rPr>
            </w:pPr>
            <w:r w:rsidRPr="000A628E">
              <w:rPr>
                <w:rFonts w:ascii="Times New Roman" w:hAnsi="Times New Roman" w:cs="Times New Roman"/>
              </w:rPr>
              <w:t>Sicilia</w:t>
            </w:r>
          </w:p>
        </w:tc>
        <w:tc>
          <w:tcPr>
            <w:tcW w:w="1699" w:type="dxa"/>
          </w:tcPr>
          <w:p w14:paraId="7DDE97D3" w14:textId="6CED9255" w:rsidR="00E52A96" w:rsidRDefault="00081A55" w:rsidP="00081A55">
            <w:pPr>
              <w:spacing w:line="360" w:lineRule="auto"/>
              <w:jc w:val="right"/>
              <w:rPr>
                <w:rFonts w:ascii="Times New Roman" w:hAnsi="Times New Roman" w:cs="Times New Roman"/>
              </w:rPr>
            </w:pPr>
            <w:r>
              <w:rPr>
                <w:rFonts w:ascii="Times New Roman" w:hAnsi="Times New Roman" w:cs="Times New Roman"/>
              </w:rPr>
              <w:t>390</w:t>
            </w:r>
          </w:p>
        </w:tc>
        <w:tc>
          <w:tcPr>
            <w:tcW w:w="1701" w:type="dxa"/>
          </w:tcPr>
          <w:p w14:paraId="5F7384F1" w14:textId="72D179CE" w:rsidR="00E52A96" w:rsidRDefault="00081A55" w:rsidP="00081A55">
            <w:pPr>
              <w:spacing w:line="360" w:lineRule="auto"/>
              <w:jc w:val="right"/>
              <w:rPr>
                <w:rFonts w:ascii="Times New Roman" w:hAnsi="Times New Roman" w:cs="Times New Roman"/>
              </w:rPr>
            </w:pPr>
            <w:r>
              <w:rPr>
                <w:rFonts w:ascii="Times New Roman" w:hAnsi="Times New Roman" w:cs="Times New Roman"/>
              </w:rPr>
              <w:t>298</w:t>
            </w:r>
          </w:p>
        </w:tc>
        <w:tc>
          <w:tcPr>
            <w:tcW w:w="1276" w:type="dxa"/>
          </w:tcPr>
          <w:p w14:paraId="6DC0052A" w14:textId="00977C4D" w:rsidR="00E52A96" w:rsidRDefault="00081A55" w:rsidP="00081A55">
            <w:pPr>
              <w:spacing w:line="360" w:lineRule="auto"/>
              <w:jc w:val="right"/>
              <w:rPr>
                <w:rFonts w:ascii="Times New Roman" w:hAnsi="Times New Roman" w:cs="Times New Roman"/>
              </w:rPr>
            </w:pPr>
            <w:r>
              <w:rPr>
                <w:rFonts w:ascii="Times New Roman" w:hAnsi="Times New Roman" w:cs="Times New Roman"/>
              </w:rPr>
              <w:t>76,4</w:t>
            </w:r>
          </w:p>
        </w:tc>
      </w:tr>
      <w:tr w:rsidR="00081A55" w14:paraId="100FAE09" w14:textId="77777777" w:rsidTr="00081A55">
        <w:tc>
          <w:tcPr>
            <w:tcW w:w="2407" w:type="dxa"/>
          </w:tcPr>
          <w:p w14:paraId="538EC077" w14:textId="2B2FF94F" w:rsidR="00081A55" w:rsidRPr="000A628E" w:rsidRDefault="00081A55" w:rsidP="00E52A96">
            <w:pPr>
              <w:spacing w:line="360" w:lineRule="auto"/>
              <w:jc w:val="both"/>
              <w:rPr>
                <w:rFonts w:ascii="Times New Roman" w:hAnsi="Times New Roman" w:cs="Times New Roman"/>
              </w:rPr>
            </w:pPr>
            <w:r w:rsidRPr="000A628E">
              <w:rPr>
                <w:rFonts w:ascii="Times New Roman" w:hAnsi="Times New Roman" w:cs="Times New Roman"/>
              </w:rPr>
              <w:t>Sardegna</w:t>
            </w:r>
          </w:p>
        </w:tc>
        <w:tc>
          <w:tcPr>
            <w:tcW w:w="1699" w:type="dxa"/>
          </w:tcPr>
          <w:p w14:paraId="267A6BC6" w14:textId="1D54B525" w:rsidR="00081A55" w:rsidRDefault="00081A55" w:rsidP="00081A55">
            <w:pPr>
              <w:spacing w:line="360" w:lineRule="auto"/>
              <w:jc w:val="right"/>
              <w:rPr>
                <w:rFonts w:ascii="Times New Roman" w:hAnsi="Times New Roman" w:cs="Times New Roman"/>
              </w:rPr>
            </w:pPr>
            <w:r>
              <w:rPr>
                <w:rFonts w:ascii="Times New Roman" w:hAnsi="Times New Roman" w:cs="Times New Roman"/>
              </w:rPr>
              <w:t>377</w:t>
            </w:r>
          </w:p>
        </w:tc>
        <w:tc>
          <w:tcPr>
            <w:tcW w:w="1701" w:type="dxa"/>
          </w:tcPr>
          <w:p w14:paraId="41855CE7" w14:textId="0AECE0A0" w:rsidR="00081A55" w:rsidRDefault="00081A55" w:rsidP="00081A55">
            <w:pPr>
              <w:spacing w:line="360" w:lineRule="auto"/>
              <w:jc w:val="right"/>
              <w:rPr>
                <w:rFonts w:ascii="Times New Roman" w:hAnsi="Times New Roman" w:cs="Times New Roman"/>
              </w:rPr>
            </w:pPr>
            <w:r>
              <w:rPr>
                <w:rFonts w:ascii="Times New Roman" w:hAnsi="Times New Roman" w:cs="Times New Roman"/>
              </w:rPr>
              <w:t>318</w:t>
            </w:r>
          </w:p>
        </w:tc>
        <w:tc>
          <w:tcPr>
            <w:tcW w:w="1276" w:type="dxa"/>
          </w:tcPr>
          <w:p w14:paraId="3449D8D2" w14:textId="0130375B" w:rsidR="00081A55" w:rsidRDefault="00081A55" w:rsidP="00081A55">
            <w:pPr>
              <w:spacing w:line="360" w:lineRule="auto"/>
              <w:jc w:val="right"/>
              <w:rPr>
                <w:rFonts w:ascii="Times New Roman" w:hAnsi="Times New Roman" w:cs="Times New Roman"/>
              </w:rPr>
            </w:pPr>
            <w:r>
              <w:rPr>
                <w:rFonts w:ascii="Times New Roman" w:hAnsi="Times New Roman" w:cs="Times New Roman"/>
              </w:rPr>
              <w:t>84,4</w:t>
            </w:r>
          </w:p>
        </w:tc>
      </w:tr>
      <w:tr w:rsidR="00081A55" w14:paraId="67598680" w14:textId="77777777" w:rsidTr="00081A55">
        <w:tc>
          <w:tcPr>
            <w:tcW w:w="2407" w:type="dxa"/>
          </w:tcPr>
          <w:p w14:paraId="1BB8B886" w14:textId="39C0E658" w:rsidR="00081A55" w:rsidRPr="000A628E" w:rsidRDefault="00081A55" w:rsidP="00E52A96">
            <w:pPr>
              <w:spacing w:line="360" w:lineRule="auto"/>
              <w:jc w:val="both"/>
              <w:rPr>
                <w:rFonts w:ascii="Times New Roman" w:hAnsi="Times New Roman" w:cs="Times New Roman"/>
              </w:rPr>
            </w:pPr>
            <w:r w:rsidRPr="000A628E">
              <w:rPr>
                <w:rFonts w:ascii="Times New Roman" w:hAnsi="Times New Roman" w:cs="Times New Roman"/>
              </w:rPr>
              <w:t>Totale</w:t>
            </w:r>
          </w:p>
        </w:tc>
        <w:tc>
          <w:tcPr>
            <w:tcW w:w="1699" w:type="dxa"/>
          </w:tcPr>
          <w:p w14:paraId="188B9DFC" w14:textId="108172D6" w:rsidR="00081A55" w:rsidRDefault="00081A55" w:rsidP="00081A55">
            <w:pPr>
              <w:spacing w:line="360" w:lineRule="auto"/>
              <w:jc w:val="right"/>
              <w:rPr>
                <w:rFonts w:ascii="Times New Roman" w:hAnsi="Times New Roman" w:cs="Times New Roman"/>
              </w:rPr>
            </w:pPr>
            <w:r>
              <w:rPr>
                <w:rFonts w:ascii="Times New Roman" w:hAnsi="Times New Roman" w:cs="Times New Roman"/>
              </w:rPr>
              <w:t>8.092</w:t>
            </w:r>
          </w:p>
        </w:tc>
        <w:tc>
          <w:tcPr>
            <w:tcW w:w="1701" w:type="dxa"/>
          </w:tcPr>
          <w:p w14:paraId="3F3893F4" w14:textId="04A91B9E" w:rsidR="00081A55" w:rsidRDefault="00081A55" w:rsidP="00081A55">
            <w:pPr>
              <w:spacing w:line="360" w:lineRule="auto"/>
              <w:jc w:val="right"/>
              <w:rPr>
                <w:rFonts w:ascii="Times New Roman" w:hAnsi="Times New Roman" w:cs="Times New Roman"/>
              </w:rPr>
            </w:pPr>
            <w:r>
              <w:rPr>
                <w:rFonts w:ascii="Times New Roman" w:hAnsi="Times New Roman" w:cs="Times New Roman"/>
              </w:rPr>
              <w:t>4.261</w:t>
            </w:r>
          </w:p>
        </w:tc>
        <w:tc>
          <w:tcPr>
            <w:tcW w:w="1276" w:type="dxa"/>
          </w:tcPr>
          <w:p w14:paraId="7890D573" w14:textId="2C1B98C7" w:rsidR="00081A55" w:rsidRDefault="00081A55" w:rsidP="00081A55">
            <w:pPr>
              <w:spacing w:line="360" w:lineRule="auto"/>
              <w:jc w:val="right"/>
              <w:rPr>
                <w:rFonts w:ascii="Times New Roman" w:hAnsi="Times New Roman" w:cs="Times New Roman"/>
              </w:rPr>
            </w:pPr>
            <w:r>
              <w:rPr>
                <w:rFonts w:ascii="Times New Roman" w:hAnsi="Times New Roman" w:cs="Times New Roman"/>
              </w:rPr>
              <w:t>52,7</w:t>
            </w:r>
          </w:p>
        </w:tc>
      </w:tr>
    </w:tbl>
    <w:p w14:paraId="55E691AF" w14:textId="77777777" w:rsidR="000A628E" w:rsidRDefault="000A628E" w:rsidP="000A488F">
      <w:pPr>
        <w:spacing w:after="0" w:line="360" w:lineRule="auto"/>
        <w:jc w:val="both"/>
        <w:rPr>
          <w:rFonts w:ascii="Times New Roman" w:hAnsi="Times New Roman" w:cs="Times New Roman"/>
        </w:rPr>
      </w:pPr>
    </w:p>
    <w:p w14:paraId="4893FDF8" w14:textId="39775C22" w:rsidR="000A488F" w:rsidRPr="000A628E" w:rsidRDefault="000A488F" w:rsidP="000A488F">
      <w:pPr>
        <w:spacing w:after="0" w:line="360" w:lineRule="auto"/>
        <w:jc w:val="both"/>
        <w:rPr>
          <w:rFonts w:ascii="Times New Roman" w:hAnsi="Times New Roman" w:cs="Times New Roman"/>
        </w:rPr>
      </w:pPr>
      <w:r w:rsidRPr="000A628E">
        <w:rPr>
          <w:rFonts w:ascii="Times New Roman" w:hAnsi="Times New Roman" w:cs="Times New Roman"/>
        </w:rPr>
        <w:t>Fonte: elaborazione IFEL-Dipartimento Studi Economia Territoriale su dati DPS</w:t>
      </w:r>
      <w:r w:rsidR="00081A55">
        <w:rPr>
          <w:rFonts w:ascii="Times New Roman" w:hAnsi="Times New Roman" w:cs="Times New Roman"/>
        </w:rPr>
        <w:t>.</w:t>
      </w:r>
    </w:p>
    <w:p w14:paraId="3DF428FF" w14:textId="66952DD9" w:rsidR="000A628E" w:rsidRDefault="000A628E" w:rsidP="009D3634">
      <w:pPr>
        <w:spacing w:after="0" w:line="360" w:lineRule="auto"/>
        <w:jc w:val="both"/>
        <w:rPr>
          <w:rFonts w:ascii="Times New Roman" w:hAnsi="Times New Roman" w:cs="Times New Roman"/>
          <w:sz w:val="24"/>
          <w:szCs w:val="24"/>
        </w:rPr>
      </w:pPr>
    </w:p>
    <w:p w14:paraId="040CD98B" w14:textId="0EE94FC6" w:rsidR="00081A55" w:rsidRPr="00081A55" w:rsidRDefault="00637CC8"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Come si evince da</w:t>
      </w:r>
      <w:r w:rsidR="006A040E">
        <w:rPr>
          <w:rFonts w:ascii="Times New Roman" w:hAnsi="Times New Roman" w:cs="Times New Roman"/>
          <w:sz w:val="24"/>
          <w:szCs w:val="24"/>
        </w:rPr>
        <w:t xml:space="preserve"> questa </w:t>
      </w:r>
      <w:r>
        <w:rPr>
          <w:rFonts w:ascii="Times New Roman" w:hAnsi="Times New Roman" w:cs="Times New Roman"/>
          <w:sz w:val="24"/>
          <w:szCs w:val="24"/>
        </w:rPr>
        <w:t xml:space="preserve">tabella, le aree interne sono presenti in tutte le Regioni italiane e </w:t>
      </w:r>
      <w:r w:rsidR="007829DD">
        <w:rPr>
          <w:rFonts w:ascii="Times New Roman" w:hAnsi="Times New Roman" w:cs="Times New Roman"/>
          <w:sz w:val="24"/>
          <w:szCs w:val="24"/>
        </w:rPr>
        <w:t>incidono da un minimo del 32,9% in Veneto a un massimo del 96,2% in Basilicata.</w:t>
      </w:r>
    </w:p>
    <w:p w14:paraId="15240147" w14:textId="77777777" w:rsidR="00313E38" w:rsidRDefault="009D3634"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L’Agenzia per la Coesione Territoriale informa che, allo stato attuale, s</w:t>
      </w:r>
      <w:r w:rsidRPr="00501FFC">
        <w:rPr>
          <w:rFonts w:ascii="Times New Roman" w:hAnsi="Times New Roman" w:cs="Times New Roman"/>
          <w:sz w:val="24"/>
          <w:szCs w:val="24"/>
        </w:rPr>
        <w:t>ono 72 le aree selezionate nell’ambito della Strategia</w:t>
      </w:r>
      <w:r>
        <w:rPr>
          <w:rFonts w:ascii="Times New Roman" w:hAnsi="Times New Roman" w:cs="Times New Roman"/>
          <w:sz w:val="24"/>
          <w:szCs w:val="24"/>
        </w:rPr>
        <w:t xml:space="preserve"> N</w:t>
      </w:r>
      <w:r w:rsidRPr="00501FFC">
        <w:rPr>
          <w:rFonts w:ascii="Times New Roman" w:hAnsi="Times New Roman" w:cs="Times New Roman"/>
          <w:sz w:val="24"/>
          <w:szCs w:val="24"/>
        </w:rPr>
        <w:t xml:space="preserve">azionale per le </w:t>
      </w:r>
      <w:r>
        <w:rPr>
          <w:rFonts w:ascii="Times New Roman" w:hAnsi="Times New Roman" w:cs="Times New Roman"/>
          <w:sz w:val="24"/>
          <w:szCs w:val="24"/>
        </w:rPr>
        <w:t>A</w:t>
      </w:r>
      <w:r w:rsidRPr="00501FFC">
        <w:rPr>
          <w:rFonts w:ascii="Times New Roman" w:hAnsi="Times New Roman" w:cs="Times New Roman"/>
          <w:sz w:val="24"/>
          <w:szCs w:val="24"/>
        </w:rPr>
        <w:t xml:space="preserve">ree </w:t>
      </w:r>
      <w:r>
        <w:rPr>
          <w:rFonts w:ascii="Times New Roman" w:hAnsi="Times New Roman" w:cs="Times New Roman"/>
          <w:sz w:val="24"/>
          <w:szCs w:val="24"/>
        </w:rPr>
        <w:t>I</w:t>
      </w:r>
      <w:r w:rsidRPr="00501FFC">
        <w:rPr>
          <w:rFonts w:ascii="Times New Roman" w:hAnsi="Times New Roman" w:cs="Times New Roman"/>
          <w:sz w:val="24"/>
          <w:szCs w:val="24"/>
        </w:rPr>
        <w:t>nterne</w:t>
      </w:r>
      <w:r>
        <w:rPr>
          <w:rFonts w:ascii="Times New Roman" w:hAnsi="Times New Roman" w:cs="Times New Roman"/>
          <w:sz w:val="24"/>
          <w:szCs w:val="24"/>
        </w:rPr>
        <w:t xml:space="preserve">; esse rappresentano </w:t>
      </w:r>
      <w:r w:rsidRPr="00501FFC">
        <w:rPr>
          <w:rFonts w:ascii="Times New Roman" w:hAnsi="Times New Roman" w:cs="Times New Roman"/>
          <w:sz w:val="24"/>
          <w:szCs w:val="24"/>
        </w:rPr>
        <w:t>1</w:t>
      </w:r>
      <w:r>
        <w:rPr>
          <w:rFonts w:ascii="Times New Roman" w:hAnsi="Times New Roman" w:cs="Times New Roman"/>
          <w:sz w:val="24"/>
          <w:szCs w:val="24"/>
        </w:rPr>
        <w:t>.</w:t>
      </w:r>
      <w:r w:rsidRPr="00501FFC">
        <w:rPr>
          <w:rFonts w:ascii="Times New Roman" w:hAnsi="Times New Roman" w:cs="Times New Roman"/>
          <w:sz w:val="24"/>
          <w:szCs w:val="24"/>
        </w:rPr>
        <w:t>060 Comuni (</w:t>
      </w:r>
      <w:r>
        <w:rPr>
          <w:rFonts w:ascii="Times New Roman" w:hAnsi="Times New Roman" w:cs="Times New Roman"/>
          <w:sz w:val="24"/>
          <w:szCs w:val="24"/>
        </w:rPr>
        <w:t>pari a</w:t>
      </w:r>
      <w:r w:rsidRPr="00501FFC">
        <w:rPr>
          <w:rFonts w:ascii="Times New Roman" w:hAnsi="Times New Roman" w:cs="Times New Roman"/>
          <w:sz w:val="24"/>
          <w:szCs w:val="24"/>
        </w:rPr>
        <w:t>l 13.4% del totale nazionale), con una popolazione complessiva al di sotto dei 2 milioni di abitanti (</w:t>
      </w:r>
      <w:r>
        <w:rPr>
          <w:rFonts w:ascii="Times New Roman" w:hAnsi="Times New Roman" w:cs="Times New Roman"/>
          <w:sz w:val="24"/>
          <w:szCs w:val="24"/>
        </w:rPr>
        <w:t>il</w:t>
      </w:r>
      <w:r w:rsidR="00313E38">
        <w:rPr>
          <w:rFonts w:ascii="Times New Roman" w:hAnsi="Times New Roman" w:cs="Times New Roman"/>
          <w:sz w:val="24"/>
          <w:szCs w:val="24"/>
        </w:rPr>
        <w:t xml:space="preserve"> </w:t>
      </w:r>
      <w:r w:rsidRPr="00501FFC">
        <w:rPr>
          <w:rFonts w:ascii="Times New Roman" w:hAnsi="Times New Roman" w:cs="Times New Roman"/>
          <w:sz w:val="24"/>
          <w:szCs w:val="24"/>
        </w:rPr>
        <w:t xml:space="preserve">3.3% del totale nazionale) e una superficie che rappresenta il 17% del suolo del Paese. </w:t>
      </w:r>
    </w:p>
    <w:p w14:paraId="38DA69F3" w14:textId="2C867B7F" w:rsidR="003028EA" w:rsidRDefault="006A040E" w:rsidP="009D3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Tutte le Regioni sono rappresentate tra le 72 aree selezionate (soltanto la provincia autonoma di Bolzano è assente, perché non ha presentato alcuna proposta).</w:t>
      </w:r>
    </w:p>
    <w:p w14:paraId="14EA2EFB" w14:textId="34BDB68E" w:rsidR="003028EA" w:rsidRDefault="009D3634" w:rsidP="003028EA">
      <w:pPr>
        <w:spacing w:after="0" w:line="360" w:lineRule="auto"/>
        <w:jc w:val="both"/>
        <w:rPr>
          <w:rFonts w:ascii="Times New Roman" w:hAnsi="Times New Roman" w:cs="Times New Roman"/>
          <w:sz w:val="24"/>
          <w:szCs w:val="24"/>
        </w:rPr>
      </w:pPr>
      <w:r w:rsidRPr="00501FFC">
        <w:rPr>
          <w:rFonts w:ascii="Times New Roman" w:hAnsi="Times New Roman" w:cs="Times New Roman"/>
          <w:sz w:val="24"/>
          <w:szCs w:val="24"/>
        </w:rPr>
        <w:lastRenderedPageBreak/>
        <w:t>Gli intervent</w:t>
      </w:r>
      <w:r w:rsidR="003028EA">
        <w:rPr>
          <w:rFonts w:ascii="Times New Roman" w:hAnsi="Times New Roman" w:cs="Times New Roman"/>
          <w:sz w:val="24"/>
          <w:szCs w:val="24"/>
        </w:rPr>
        <w:t>i</w:t>
      </w:r>
      <w:r w:rsidRPr="00501FFC">
        <w:rPr>
          <w:rFonts w:ascii="Times New Roman" w:hAnsi="Times New Roman" w:cs="Times New Roman"/>
          <w:sz w:val="24"/>
          <w:szCs w:val="24"/>
        </w:rPr>
        <w:t xml:space="preserve"> </w:t>
      </w:r>
      <w:r>
        <w:rPr>
          <w:rFonts w:ascii="Times New Roman" w:hAnsi="Times New Roman" w:cs="Times New Roman"/>
          <w:sz w:val="24"/>
          <w:szCs w:val="24"/>
        </w:rPr>
        <w:t xml:space="preserve">riguardano </w:t>
      </w:r>
      <w:r w:rsidRPr="00501FFC">
        <w:rPr>
          <w:rFonts w:ascii="Times New Roman" w:hAnsi="Times New Roman" w:cs="Times New Roman"/>
          <w:sz w:val="24"/>
          <w:szCs w:val="24"/>
        </w:rPr>
        <w:t xml:space="preserve">71 </w:t>
      </w:r>
      <w:r>
        <w:rPr>
          <w:rFonts w:ascii="Times New Roman" w:hAnsi="Times New Roman" w:cs="Times New Roman"/>
          <w:sz w:val="24"/>
          <w:szCs w:val="24"/>
        </w:rPr>
        <w:t>delle 72 selezionate e si focalizzeranno su</w:t>
      </w:r>
      <w:r w:rsidRPr="00501FFC">
        <w:rPr>
          <w:rFonts w:ascii="Times New Roman" w:hAnsi="Times New Roman" w:cs="Times New Roman"/>
          <w:sz w:val="24"/>
          <w:szCs w:val="24"/>
        </w:rPr>
        <w:t xml:space="preserve">: mobilità, salute, scuola, efficienza e trasparenza della PA, natura, cultura e turismo, agricoltura e zootecnia, bosco, energia, imprese, infrastrutture e servizi digitali, lavoro e formazione e sicurezza del territorio. </w:t>
      </w:r>
      <w:r>
        <w:rPr>
          <w:rFonts w:ascii="Times New Roman" w:hAnsi="Times New Roman" w:cs="Times New Roman"/>
          <w:sz w:val="24"/>
          <w:szCs w:val="24"/>
        </w:rPr>
        <w:t xml:space="preserve">Per l’Agenzia il fattore associativo </w:t>
      </w:r>
      <w:r w:rsidRPr="00501FFC">
        <w:rPr>
          <w:rFonts w:ascii="Times New Roman" w:hAnsi="Times New Roman" w:cs="Times New Roman"/>
          <w:sz w:val="24"/>
          <w:szCs w:val="24"/>
        </w:rPr>
        <w:t>tra i Comuni</w:t>
      </w:r>
      <w:r>
        <w:rPr>
          <w:rFonts w:ascii="Times New Roman" w:hAnsi="Times New Roman" w:cs="Times New Roman"/>
          <w:sz w:val="24"/>
          <w:szCs w:val="24"/>
        </w:rPr>
        <w:t xml:space="preserve"> è essenziale per l’attuazione della Strategia.</w:t>
      </w:r>
      <w:r w:rsidR="003028EA">
        <w:rPr>
          <w:rFonts w:ascii="Times New Roman" w:hAnsi="Times New Roman" w:cs="Times New Roman"/>
          <w:sz w:val="24"/>
          <w:szCs w:val="24"/>
        </w:rPr>
        <w:t xml:space="preserve"> I</w:t>
      </w:r>
      <w:r w:rsidR="003028EA" w:rsidRPr="00501FFC">
        <w:rPr>
          <w:rFonts w:ascii="Times New Roman" w:hAnsi="Times New Roman" w:cs="Times New Roman"/>
          <w:sz w:val="24"/>
          <w:szCs w:val="24"/>
        </w:rPr>
        <w:t xml:space="preserve">l valore complessivo delle strategie </w:t>
      </w:r>
      <w:r w:rsidR="003028EA">
        <w:rPr>
          <w:rFonts w:ascii="Times New Roman" w:hAnsi="Times New Roman" w:cs="Times New Roman"/>
          <w:sz w:val="24"/>
          <w:szCs w:val="24"/>
        </w:rPr>
        <w:t xml:space="preserve">d’intervento </w:t>
      </w:r>
      <w:r w:rsidR="003028EA" w:rsidRPr="00501FFC">
        <w:rPr>
          <w:rFonts w:ascii="Times New Roman" w:hAnsi="Times New Roman" w:cs="Times New Roman"/>
          <w:sz w:val="24"/>
          <w:szCs w:val="24"/>
        </w:rPr>
        <w:t>approvate</w:t>
      </w:r>
      <w:r w:rsidR="003028EA">
        <w:rPr>
          <w:rFonts w:ascii="Times New Roman" w:hAnsi="Times New Roman" w:cs="Times New Roman"/>
          <w:sz w:val="24"/>
          <w:szCs w:val="24"/>
        </w:rPr>
        <w:t xml:space="preserve"> è</w:t>
      </w:r>
      <w:r w:rsidR="003028EA" w:rsidRPr="00501FFC">
        <w:rPr>
          <w:rFonts w:ascii="Times New Roman" w:hAnsi="Times New Roman" w:cs="Times New Roman"/>
          <w:sz w:val="24"/>
          <w:szCs w:val="24"/>
        </w:rPr>
        <w:t xml:space="preserve"> pari a 1</w:t>
      </w:r>
      <w:r w:rsidR="003028EA">
        <w:rPr>
          <w:rFonts w:ascii="Times New Roman" w:hAnsi="Times New Roman" w:cs="Times New Roman"/>
          <w:sz w:val="24"/>
          <w:szCs w:val="24"/>
        </w:rPr>
        <w:t xml:space="preserve"> miliardo e </w:t>
      </w:r>
      <w:r w:rsidR="003028EA" w:rsidRPr="00501FFC">
        <w:rPr>
          <w:rFonts w:ascii="Times New Roman" w:hAnsi="Times New Roman" w:cs="Times New Roman"/>
          <w:sz w:val="24"/>
          <w:szCs w:val="24"/>
        </w:rPr>
        <w:t>142 mili</w:t>
      </w:r>
      <w:r w:rsidR="003028EA">
        <w:rPr>
          <w:rFonts w:ascii="Times New Roman" w:hAnsi="Times New Roman" w:cs="Times New Roman"/>
          <w:sz w:val="24"/>
          <w:szCs w:val="24"/>
        </w:rPr>
        <w:t xml:space="preserve">oni </w:t>
      </w:r>
      <w:r w:rsidR="003028EA" w:rsidRPr="00501FFC">
        <w:rPr>
          <w:rFonts w:ascii="Times New Roman" w:hAnsi="Times New Roman" w:cs="Times New Roman"/>
          <w:sz w:val="24"/>
          <w:szCs w:val="24"/>
        </w:rPr>
        <w:t>di euro, di cui 261 milioni di euro sono risorse statali, 693 milioni di euro provengono da Programmi finanziati dai fondi europei, mentre ulteriori 189 milioni di euro sono costituiti da altre risorse pubbliche e private</w:t>
      </w:r>
      <w:r w:rsidR="003028EA">
        <w:rPr>
          <w:rFonts w:ascii="Times New Roman" w:hAnsi="Times New Roman" w:cs="Times New Roman"/>
          <w:sz w:val="24"/>
          <w:szCs w:val="24"/>
        </w:rPr>
        <w:t>.</w:t>
      </w:r>
      <w:r w:rsidR="00564EED">
        <w:rPr>
          <w:rFonts w:ascii="Times New Roman" w:hAnsi="Times New Roman" w:cs="Times New Roman"/>
          <w:sz w:val="24"/>
          <w:szCs w:val="24"/>
        </w:rPr>
        <w:t xml:space="preserve"> </w:t>
      </w:r>
      <w:r w:rsidR="003028EA">
        <w:rPr>
          <w:rFonts w:ascii="Times New Roman" w:hAnsi="Times New Roman" w:cs="Times New Roman"/>
          <w:sz w:val="24"/>
          <w:szCs w:val="24"/>
        </w:rPr>
        <w:t>Ci si augura di poter selezionare, entro il 2021, almeno altre due nuove aree interne per ogni Regione.</w:t>
      </w:r>
    </w:p>
    <w:p w14:paraId="6D4DA8A0" w14:textId="59CDE62A" w:rsidR="003028EA" w:rsidRDefault="003028EA" w:rsidP="003028E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00564EED">
        <w:rPr>
          <w:rFonts w:ascii="Times New Roman" w:hAnsi="Times New Roman" w:cs="Times New Roman"/>
          <w:sz w:val="24"/>
          <w:szCs w:val="24"/>
        </w:rPr>
        <w:t>cfr.</w:t>
      </w:r>
      <w:r>
        <w:rPr>
          <w:rFonts w:ascii="Times New Roman" w:hAnsi="Times New Roman" w:cs="Times New Roman"/>
          <w:sz w:val="24"/>
          <w:szCs w:val="24"/>
        </w:rPr>
        <w:t xml:space="preserve"> </w:t>
      </w:r>
      <w:hyperlink r:id="rId11" w:history="1">
        <w:r w:rsidRPr="0078613E">
          <w:rPr>
            <w:rStyle w:val="Collegamentoipertestuale"/>
            <w:rFonts w:ascii="Times New Roman" w:hAnsi="Times New Roman" w:cs="Times New Roman"/>
            <w:sz w:val="24"/>
            <w:szCs w:val="24"/>
          </w:rPr>
          <w:t>https://www.agenziacoesione.gov.it/news_istituzionali/aree-interne/</w:t>
        </w:r>
      </w:hyperlink>
      <w:r>
        <w:rPr>
          <w:rFonts w:ascii="Times New Roman" w:hAnsi="Times New Roman" w:cs="Times New Roman"/>
          <w:sz w:val="24"/>
          <w:szCs w:val="24"/>
        </w:rPr>
        <w:t>)</w:t>
      </w:r>
    </w:p>
    <w:p w14:paraId="3451CF07" w14:textId="77777777" w:rsidR="00681441" w:rsidRDefault="00681441" w:rsidP="006A040E">
      <w:pPr>
        <w:spacing w:after="0" w:line="360" w:lineRule="auto"/>
        <w:jc w:val="both"/>
        <w:rPr>
          <w:rFonts w:ascii="Times New Roman" w:hAnsi="Times New Roman" w:cs="Times New Roman"/>
          <w:sz w:val="24"/>
          <w:szCs w:val="24"/>
        </w:rPr>
      </w:pPr>
    </w:p>
    <w:p w14:paraId="55A79F3D" w14:textId="77777777" w:rsidR="00564EED" w:rsidRDefault="00564EED" w:rsidP="006A040E">
      <w:pPr>
        <w:spacing w:after="0" w:line="360" w:lineRule="auto"/>
        <w:jc w:val="both"/>
        <w:rPr>
          <w:rFonts w:ascii="Times New Roman" w:hAnsi="Times New Roman" w:cs="Times New Roman"/>
          <w:sz w:val="24"/>
          <w:szCs w:val="24"/>
        </w:rPr>
      </w:pPr>
    </w:p>
    <w:p w14:paraId="0AAAB65E" w14:textId="67557CF5" w:rsidR="006A040E" w:rsidRPr="00D80863" w:rsidRDefault="003028EA" w:rsidP="006A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È utile tenere presente che </w:t>
      </w:r>
      <w:r w:rsidR="00681441">
        <w:rPr>
          <w:rFonts w:ascii="Times New Roman" w:hAnsi="Times New Roman" w:cs="Times New Roman"/>
          <w:sz w:val="24"/>
          <w:szCs w:val="24"/>
        </w:rPr>
        <w:t xml:space="preserve">i </w:t>
      </w:r>
      <w:r w:rsidR="00681441" w:rsidRPr="00D80863">
        <w:rPr>
          <w:rFonts w:ascii="Times New Roman" w:hAnsi="Times New Roman" w:cs="Times New Roman"/>
          <w:sz w:val="24"/>
          <w:szCs w:val="24"/>
        </w:rPr>
        <w:t>progetti</w:t>
      </w:r>
      <w:r w:rsidR="00681441">
        <w:rPr>
          <w:rFonts w:ascii="Times New Roman" w:hAnsi="Times New Roman" w:cs="Times New Roman"/>
          <w:sz w:val="24"/>
          <w:szCs w:val="24"/>
        </w:rPr>
        <w:t xml:space="preserve"> </w:t>
      </w:r>
      <w:r w:rsidR="00681441" w:rsidRPr="00D80863">
        <w:rPr>
          <w:rFonts w:ascii="Times New Roman" w:hAnsi="Times New Roman" w:cs="Times New Roman"/>
          <w:sz w:val="24"/>
          <w:szCs w:val="24"/>
        </w:rPr>
        <w:t>di sviluppo locale</w:t>
      </w:r>
      <w:r w:rsidR="00681441">
        <w:rPr>
          <w:rFonts w:ascii="Times New Roman" w:hAnsi="Times New Roman" w:cs="Times New Roman"/>
          <w:sz w:val="24"/>
          <w:szCs w:val="24"/>
        </w:rPr>
        <w:t xml:space="preserve"> proposti per il finanziamento devono muoversi all’interno dei </w:t>
      </w:r>
      <w:r w:rsidR="006A040E">
        <w:rPr>
          <w:rFonts w:ascii="Times New Roman" w:hAnsi="Times New Roman" w:cs="Times New Roman"/>
          <w:sz w:val="24"/>
          <w:szCs w:val="24"/>
        </w:rPr>
        <w:t xml:space="preserve">cinque </w:t>
      </w:r>
      <w:r>
        <w:rPr>
          <w:rFonts w:ascii="Times New Roman" w:hAnsi="Times New Roman" w:cs="Times New Roman"/>
          <w:sz w:val="24"/>
          <w:szCs w:val="24"/>
        </w:rPr>
        <w:t xml:space="preserve">gli </w:t>
      </w:r>
      <w:r w:rsidR="006A040E" w:rsidRPr="00D80863">
        <w:rPr>
          <w:rFonts w:ascii="Times New Roman" w:hAnsi="Times New Roman" w:cs="Times New Roman"/>
          <w:sz w:val="24"/>
          <w:szCs w:val="24"/>
        </w:rPr>
        <w:t xml:space="preserve">ambiti </w:t>
      </w:r>
      <w:r w:rsidR="00681441">
        <w:rPr>
          <w:rFonts w:ascii="Times New Roman" w:hAnsi="Times New Roman" w:cs="Times New Roman"/>
          <w:sz w:val="24"/>
          <w:szCs w:val="24"/>
        </w:rPr>
        <w:t>qui di seguito elencati</w:t>
      </w:r>
      <w:r>
        <w:rPr>
          <w:rFonts w:ascii="Times New Roman" w:hAnsi="Times New Roman" w:cs="Times New Roman"/>
          <w:sz w:val="24"/>
          <w:szCs w:val="24"/>
        </w:rPr>
        <w:t>:</w:t>
      </w:r>
    </w:p>
    <w:p w14:paraId="5222F2CA" w14:textId="77777777" w:rsidR="006A040E" w:rsidRPr="00D80863" w:rsidRDefault="006A040E" w:rsidP="006A040E">
      <w:pPr>
        <w:spacing w:after="0" w:line="360" w:lineRule="auto"/>
        <w:jc w:val="both"/>
        <w:rPr>
          <w:rFonts w:ascii="Times New Roman" w:hAnsi="Times New Roman" w:cs="Times New Roman"/>
          <w:sz w:val="24"/>
          <w:szCs w:val="24"/>
        </w:rPr>
      </w:pPr>
      <w:r w:rsidRPr="00D80863">
        <w:rPr>
          <w:rFonts w:ascii="Times New Roman" w:hAnsi="Times New Roman" w:cs="Times New Roman"/>
          <w:sz w:val="24"/>
          <w:szCs w:val="24"/>
        </w:rPr>
        <w:t>a) tutela attiva del territorio/sostenibilità ambientale;</w:t>
      </w:r>
    </w:p>
    <w:p w14:paraId="21C90388" w14:textId="77777777" w:rsidR="006A040E" w:rsidRPr="00D80863" w:rsidRDefault="006A040E" w:rsidP="006A040E">
      <w:pPr>
        <w:spacing w:after="0" w:line="360" w:lineRule="auto"/>
        <w:jc w:val="both"/>
        <w:rPr>
          <w:rFonts w:ascii="Times New Roman" w:hAnsi="Times New Roman" w:cs="Times New Roman"/>
          <w:sz w:val="24"/>
          <w:szCs w:val="24"/>
        </w:rPr>
      </w:pPr>
      <w:r w:rsidRPr="00D80863">
        <w:rPr>
          <w:rFonts w:ascii="Times New Roman" w:hAnsi="Times New Roman" w:cs="Times New Roman"/>
          <w:sz w:val="24"/>
          <w:szCs w:val="24"/>
        </w:rPr>
        <w:t>b) valorizzazione del capitale naturale/culturale e del turismo;</w:t>
      </w:r>
    </w:p>
    <w:p w14:paraId="37992B35" w14:textId="77777777" w:rsidR="006A040E" w:rsidRPr="00D80863" w:rsidRDefault="006A040E" w:rsidP="006A040E">
      <w:pPr>
        <w:spacing w:after="0" w:line="360" w:lineRule="auto"/>
        <w:jc w:val="both"/>
        <w:rPr>
          <w:rFonts w:ascii="Times New Roman" w:hAnsi="Times New Roman" w:cs="Times New Roman"/>
          <w:sz w:val="24"/>
          <w:szCs w:val="24"/>
        </w:rPr>
      </w:pPr>
      <w:r w:rsidRPr="00D80863">
        <w:rPr>
          <w:rFonts w:ascii="Times New Roman" w:hAnsi="Times New Roman" w:cs="Times New Roman"/>
          <w:sz w:val="24"/>
          <w:szCs w:val="24"/>
        </w:rPr>
        <w:t>c) valorizzazione dei sistemi agro-alimentari;</w:t>
      </w:r>
    </w:p>
    <w:p w14:paraId="0A1B6FF1" w14:textId="77777777" w:rsidR="006A040E" w:rsidRPr="00D80863" w:rsidRDefault="006A040E" w:rsidP="006A040E">
      <w:pPr>
        <w:spacing w:after="0" w:line="360" w:lineRule="auto"/>
        <w:jc w:val="both"/>
        <w:rPr>
          <w:rFonts w:ascii="Times New Roman" w:hAnsi="Times New Roman" w:cs="Times New Roman"/>
          <w:sz w:val="24"/>
          <w:szCs w:val="24"/>
        </w:rPr>
      </w:pPr>
      <w:r w:rsidRPr="00D80863">
        <w:rPr>
          <w:rFonts w:ascii="Times New Roman" w:hAnsi="Times New Roman" w:cs="Times New Roman"/>
          <w:sz w:val="24"/>
          <w:szCs w:val="24"/>
        </w:rPr>
        <w:t>d) attivazione di filiere delle energie rinnovabili:</w:t>
      </w:r>
    </w:p>
    <w:p w14:paraId="59A2224D" w14:textId="544E1951" w:rsidR="006A040E" w:rsidRDefault="006A040E" w:rsidP="006A040E">
      <w:pPr>
        <w:spacing w:after="0" w:line="360" w:lineRule="auto"/>
        <w:jc w:val="both"/>
        <w:rPr>
          <w:rFonts w:ascii="Times New Roman" w:hAnsi="Times New Roman" w:cs="Times New Roman"/>
          <w:sz w:val="24"/>
          <w:szCs w:val="24"/>
        </w:rPr>
      </w:pPr>
      <w:r w:rsidRPr="00D80863">
        <w:rPr>
          <w:rFonts w:ascii="Times New Roman" w:hAnsi="Times New Roman" w:cs="Times New Roman"/>
          <w:sz w:val="24"/>
          <w:szCs w:val="24"/>
        </w:rPr>
        <w:t>e) saper fare e artigianato.</w:t>
      </w:r>
    </w:p>
    <w:p w14:paraId="532E1556" w14:textId="66CF51EE" w:rsidR="003028EA" w:rsidRDefault="00681441" w:rsidP="006A0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Comitato tecnico delle aree interne (CTAI) questi sono gli ambiti </w:t>
      </w:r>
      <w:r w:rsidR="009D6C8C">
        <w:rPr>
          <w:rFonts w:ascii="Times New Roman" w:hAnsi="Times New Roman" w:cs="Times New Roman"/>
          <w:sz w:val="24"/>
          <w:szCs w:val="24"/>
        </w:rPr>
        <w:t>ritenuti capaci di</w:t>
      </w:r>
      <w:r w:rsidR="009D6C8C" w:rsidRPr="00AC49F1">
        <w:rPr>
          <w:rFonts w:ascii="Times New Roman" w:hAnsi="Times New Roman" w:cs="Times New Roman"/>
          <w:sz w:val="24"/>
          <w:szCs w:val="24"/>
        </w:rPr>
        <w:t xml:space="preserve"> promuovere</w:t>
      </w:r>
      <w:r w:rsidR="009D6C8C">
        <w:rPr>
          <w:rFonts w:ascii="Times New Roman" w:hAnsi="Times New Roman" w:cs="Times New Roman"/>
          <w:sz w:val="24"/>
          <w:szCs w:val="24"/>
        </w:rPr>
        <w:t xml:space="preserve"> </w:t>
      </w:r>
      <w:r w:rsidR="009D6C8C" w:rsidRPr="00AC49F1">
        <w:rPr>
          <w:rFonts w:ascii="Times New Roman" w:hAnsi="Times New Roman" w:cs="Times New Roman"/>
          <w:sz w:val="24"/>
          <w:szCs w:val="24"/>
        </w:rPr>
        <w:t>crescita e indurre sviluppo economico, generando una traiettoria di sviluppo</w:t>
      </w:r>
      <w:r w:rsidR="009D6C8C">
        <w:rPr>
          <w:rFonts w:ascii="Times New Roman" w:hAnsi="Times New Roman" w:cs="Times New Roman"/>
          <w:sz w:val="24"/>
          <w:szCs w:val="24"/>
        </w:rPr>
        <w:t xml:space="preserve"> “</w:t>
      </w:r>
      <w:r w:rsidR="009D6C8C" w:rsidRPr="00AC49F1">
        <w:rPr>
          <w:rFonts w:ascii="Times New Roman" w:hAnsi="Times New Roman" w:cs="Times New Roman"/>
          <w:sz w:val="24"/>
          <w:szCs w:val="24"/>
        </w:rPr>
        <w:t>sostenibile</w:t>
      </w:r>
      <w:r w:rsidR="009D6C8C">
        <w:rPr>
          <w:rFonts w:ascii="Times New Roman" w:hAnsi="Times New Roman" w:cs="Times New Roman"/>
          <w:sz w:val="24"/>
          <w:szCs w:val="24"/>
        </w:rPr>
        <w:t>”.</w:t>
      </w:r>
    </w:p>
    <w:p w14:paraId="3C0AD531" w14:textId="2BCCB556" w:rsidR="006A040E" w:rsidRDefault="006A040E" w:rsidP="006A04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64EED">
        <w:rPr>
          <w:rFonts w:ascii="Times New Roman" w:hAnsi="Times New Roman" w:cs="Times New Roman"/>
          <w:sz w:val="24"/>
          <w:szCs w:val="24"/>
        </w:rPr>
        <w:t>cfr.</w:t>
      </w:r>
      <w:r>
        <w:rPr>
          <w:rFonts w:ascii="Times New Roman" w:hAnsi="Times New Roman" w:cs="Times New Roman"/>
          <w:sz w:val="24"/>
          <w:szCs w:val="24"/>
        </w:rPr>
        <w:t xml:space="preserve"> </w:t>
      </w:r>
      <w:hyperlink r:id="rId12" w:history="1">
        <w:r w:rsidRPr="0078613E">
          <w:rPr>
            <w:rStyle w:val="Collegamentoipertestuale"/>
            <w:rFonts w:ascii="Times New Roman" w:hAnsi="Times New Roman" w:cs="Times New Roman"/>
            <w:sz w:val="24"/>
            <w:szCs w:val="24"/>
          </w:rPr>
          <w:t>https://www.agenziacoesione.gov.it/wp-content/uploads/2021/01/Strategia_nazionale_per_le_Aree_interne_definizione_obiettivi_strumenti_e_governance_2014.pdf</w:t>
        </w:r>
      </w:hyperlink>
      <w:r>
        <w:rPr>
          <w:rFonts w:ascii="Times New Roman" w:hAnsi="Times New Roman" w:cs="Times New Roman"/>
          <w:sz w:val="24"/>
          <w:szCs w:val="24"/>
        </w:rPr>
        <w:t>)</w:t>
      </w:r>
    </w:p>
    <w:p w14:paraId="06A17DE3" w14:textId="77777777" w:rsidR="006A040E" w:rsidRDefault="006A040E" w:rsidP="006A040E">
      <w:pPr>
        <w:spacing w:after="0" w:line="360" w:lineRule="auto"/>
        <w:jc w:val="both"/>
        <w:rPr>
          <w:rFonts w:ascii="Times New Roman" w:hAnsi="Times New Roman" w:cs="Times New Roman"/>
          <w:sz w:val="24"/>
          <w:szCs w:val="24"/>
        </w:rPr>
      </w:pPr>
    </w:p>
    <w:p w14:paraId="46C6618B" w14:textId="77777777" w:rsidR="009D3634" w:rsidRDefault="009D3634" w:rsidP="009D3634">
      <w:pPr>
        <w:spacing w:after="0" w:line="360" w:lineRule="auto"/>
        <w:jc w:val="both"/>
        <w:rPr>
          <w:rFonts w:ascii="Times New Roman" w:hAnsi="Times New Roman" w:cs="Times New Roman"/>
          <w:sz w:val="24"/>
          <w:szCs w:val="24"/>
        </w:rPr>
      </w:pPr>
    </w:p>
    <w:p w14:paraId="4398FC32" w14:textId="77777777" w:rsidR="009D3634" w:rsidRDefault="009D3634" w:rsidP="009D3634">
      <w:pPr>
        <w:spacing w:after="0" w:line="360" w:lineRule="auto"/>
        <w:jc w:val="both"/>
        <w:rPr>
          <w:rFonts w:ascii="Times New Roman" w:hAnsi="Times New Roman" w:cs="Times New Roman"/>
          <w:sz w:val="24"/>
          <w:szCs w:val="24"/>
        </w:rPr>
      </w:pPr>
      <w:r>
        <w:rPr>
          <w:noProof/>
        </w:rPr>
        <w:lastRenderedPageBreak/>
        <w:drawing>
          <wp:inline distT="0" distB="0" distL="0" distR="0" wp14:anchorId="22F4258B" wp14:editId="0B51074A">
            <wp:extent cx="6120130" cy="8201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201025"/>
                    </a:xfrm>
                    <a:prstGeom prst="rect">
                      <a:avLst/>
                    </a:prstGeom>
                    <a:noFill/>
                    <a:ln>
                      <a:noFill/>
                    </a:ln>
                  </pic:spPr>
                </pic:pic>
              </a:graphicData>
            </a:graphic>
          </wp:inline>
        </w:drawing>
      </w:r>
    </w:p>
    <w:p w14:paraId="5D06A05B" w14:textId="768E7187" w:rsidR="00365E85" w:rsidRPr="00313E38" w:rsidRDefault="009D3634" w:rsidP="009D3634">
      <w:pPr>
        <w:spacing w:after="0" w:line="360" w:lineRule="auto"/>
        <w:jc w:val="both"/>
        <w:rPr>
          <w:rFonts w:ascii="Times New Roman" w:hAnsi="Times New Roman" w:cs="Times New Roman"/>
          <w:sz w:val="18"/>
          <w:szCs w:val="18"/>
        </w:rPr>
      </w:pPr>
      <w:r w:rsidRPr="00313E38">
        <w:rPr>
          <w:rFonts w:ascii="Times New Roman" w:hAnsi="Times New Roman" w:cs="Times New Roman"/>
          <w:sz w:val="18"/>
          <w:szCs w:val="18"/>
        </w:rPr>
        <w:t>Fonte:</w:t>
      </w:r>
      <w:hyperlink r:id="rId14" w:anchor="/media/File:Mappa_aree_pilota_SNAI.jpg" w:history="1">
        <w:r w:rsidR="00365E85" w:rsidRPr="00313E38">
          <w:rPr>
            <w:rStyle w:val="Collegamentoipertestuale"/>
            <w:rFonts w:ascii="Times New Roman" w:hAnsi="Times New Roman" w:cs="Times New Roman"/>
            <w:sz w:val="18"/>
            <w:szCs w:val="18"/>
          </w:rPr>
          <w:t>https://it.wikipedia.org/wiki/Strategia_nazionale_per_le_aree_interne#/media/File:Mappa_aree_pilota_SNAI.jpg</w:t>
        </w:r>
      </w:hyperlink>
    </w:p>
    <w:p w14:paraId="64F55BED" w14:textId="77777777" w:rsidR="00365E85" w:rsidRDefault="00365E85" w:rsidP="009D3634">
      <w:pPr>
        <w:spacing w:after="0" w:line="360" w:lineRule="auto"/>
        <w:jc w:val="both"/>
        <w:rPr>
          <w:rFonts w:ascii="Times New Roman" w:hAnsi="Times New Roman" w:cs="Times New Roman"/>
          <w:sz w:val="24"/>
          <w:szCs w:val="24"/>
        </w:rPr>
      </w:pPr>
    </w:p>
    <w:p w14:paraId="3F41F37E" w14:textId="6A8F69EE" w:rsidR="00365E85" w:rsidRPr="00365E85" w:rsidRDefault="00365E85" w:rsidP="009C486B">
      <w:pPr>
        <w:spacing w:after="0" w:line="360" w:lineRule="auto"/>
        <w:jc w:val="both"/>
        <w:rPr>
          <w:rFonts w:ascii="Times New Roman" w:hAnsi="Times New Roman" w:cs="Times New Roman"/>
          <w:sz w:val="24"/>
          <w:szCs w:val="24"/>
        </w:rPr>
      </w:pPr>
      <w:r w:rsidRPr="00EB02BA">
        <w:rPr>
          <w:rFonts w:ascii="Times New Roman" w:hAnsi="Times New Roman" w:cs="Times New Roman"/>
          <w:i/>
          <w:iCs/>
          <w:sz w:val="24"/>
          <w:szCs w:val="24"/>
        </w:rPr>
        <w:lastRenderedPageBreak/>
        <w:t>Gli obiettivi</w:t>
      </w:r>
      <w:r>
        <w:rPr>
          <w:rFonts w:ascii="Times New Roman" w:hAnsi="Times New Roman" w:cs="Times New Roman"/>
          <w:sz w:val="24"/>
          <w:szCs w:val="24"/>
        </w:rPr>
        <w:t xml:space="preserve"> da raggiungere sono </w:t>
      </w:r>
      <w:r w:rsidR="009C486B">
        <w:rPr>
          <w:rFonts w:ascii="Times New Roman" w:hAnsi="Times New Roman" w:cs="Times New Roman"/>
          <w:sz w:val="24"/>
          <w:szCs w:val="24"/>
        </w:rPr>
        <w:t>il miglioramento della qualità dei servizi essenziali (istruzione, salute, mobilità)</w:t>
      </w:r>
      <w:r w:rsidR="00851556">
        <w:rPr>
          <w:rFonts w:ascii="Times New Roman" w:hAnsi="Times New Roman" w:cs="Times New Roman"/>
          <w:sz w:val="24"/>
          <w:szCs w:val="24"/>
        </w:rPr>
        <w:t xml:space="preserve"> e lo sviluppo locale, da realizzare attraverso </w:t>
      </w:r>
      <w:r w:rsidR="009C486B">
        <w:rPr>
          <w:rFonts w:ascii="Times New Roman" w:hAnsi="Times New Roman" w:cs="Times New Roman"/>
          <w:sz w:val="24"/>
          <w:szCs w:val="24"/>
        </w:rPr>
        <w:t xml:space="preserve">cinque obiettivi intermedi: </w:t>
      </w:r>
    </w:p>
    <w:p w14:paraId="60270FF3" w14:textId="77777777" w:rsidR="00365E85" w:rsidRPr="00365E85" w:rsidRDefault="00365E85" w:rsidP="00365E85">
      <w:pPr>
        <w:spacing w:after="0" w:line="360" w:lineRule="auto"/>
        <w:jc w:val="both"/>
        <w:rPr>
          <w:rFonts w:ascii="Times New Roman" w:hAnsi="Times New Roman" w:cs="Times New Roman"/>
          <w:sz w:val="24"/>
          <w:szCs w:val="24"/>
        </w:rPr>
      </w:pPr>
      <w:r w:rsidRPr="00365E85">
        <w:rPr>
          <w:rFonts w:ascii="Times New Roman" w:hAnsi="Times New Roman" w:cs="Times New Roman"/>
          <w:sz w:val="24"/>
          <w:szCs w:val="24"/>
        </w:rPr>
        <w:t>1. aumento del benessere della popolazione locale;</w:t>
      </w:r>
    </w:p>
    <w:p w14:paraId="559BBBB0" w14:textId="77777777" w:rsidR="00365E85" w:rsidRPr="00365E85" w:rsidRDefault="00365E85" w:rsidP="00365E85">
      <w:pPr>
        <w:spacing w:after="0" w:line="360" w:lineRule="auto"/>
        <w:jc w:val="both"/>
        <w:rPr>
          <w:rFonts w:ascii="Times New Roman" w:hAnsi="Times New Roman" w:cs="Times New Roman"/>
          <w:sz w:val="24"/>
          <w:szCs w:val="24"/>
        </w:rPr>
      </w:pPr>
      <w:r w:rsidRPr="00365E85">
        <w:rPr>
          <w:rFonts w:ascii="Times New Roman" w:hAnsi="Times New Roman" w:cs="Times New Roman"/>
          <w:sz w:val="24"/>
          <w:szCs w:val="24"/>
        </w:rPr>
        <w:t>2. aumento della domanda locale di lavoro (e dell’occupazione);</w:t>
      </w:r>
    </w:p>
    <w:p w14:paraId="527C23AE" w14:textId="77777777" w:rsidR="00365E85" w:rsidRPr="00365E85" w:rsidRDefault="00365E85" w:rsidP="00365E85">
      <w:pPr>
        <w:spacing w:after="0" w:line="360" w:lineRule="auto"/>
        <w:jc w:val="both"/>
        <w:rPr>
          <w:rFonts w:ascii="Times New Roman" w:hAnsi="Times New Roman" w:cs="Times New Roman"/>
          <w:sz w:val="24"/>
          <w:szCs w:val="24"/>
        </w:rPr>
      </w:pPr>
      <w:r w:rsidRPr="00365E85">
        <w:rPr>
          <w:rFonts w:ascii="Times New Roman" w:hAnsi="Times New Roman" w:cs="Times New Roman"/>
          <w:sz w:val="24"/>
          <w:szCs w:val="24"/>
        </w:rPr>
        <w:t>3. aumento del grado di utilizzo del capitale territoriale;</w:t>
      </w:r>
    </w:p>
    <w:p w14:paraId="7F71B4C1" w14:textId="77777777" w:rsidR="00365E85" w:rsidRPr="00365E85" w:rsidRDefault="00365E85" w:rsidP="00365E85">
      <w:pPr>
        <w:spacing w:after="0" w:line="360" w:lineRule="auto"/>
        <w:jc w:val="both"/>
        <w:rPr>
          <w:rFonts w:ascii="Times New Roman" w:hAnsi="Times New Roman" w:cs="Times New Roman"/>
          <w:sz w:val="24"/>
          <w:szCs w:val="24"/>
        </w:rPr>
      </w:pPr>
      <w:r w:rsidRPr="00365E85">
        <w:rPr>
          <w:rFonts w:ascii="Times New Roman" w:hAnsi="Times New Roman" w:cs="Times New Roman"/>
          <w:sz w:val="24"/>
          <w:szCs w:val="24"/>
        </w:rPr>
        <w:t>4. riduzione dei costi sociali della de-antropizzazione</w:t>
      </w:r>
    </w:p>
    <w:p w14:paraId="03EE3059" w14:textId="4DC354F1" w:rsidR="00365E85" w:rsidRDefault="00365E85" w:rsidP="00365E85">
      <w:pPr>
        <w:spacing w:after="0" w:line="360" w:lineRule="auto"/>
        <w:jc w:val="both"/>
        <w:rPr>
          <w:rFonts w:ascii="Times New Roman" w:hAnsi="Times New Roman" w:cs="Times New Roman"/>
          <w:sz w:val="24"/>
          <w:szCs w:val="24"/>
        </w:rPr>
      </w:pPr>
      <w:r w:rsidRPr="00365E85">
        <w:rPr>
          <w:rFonts w:ascii="Times New Roman" w:hAnsi="Times New Roman" w:cs="Times New Roman"/>
          <w:sz w:val="24"/>
          <w:szCs w:val="24"/>
        </w:rPr>
        <w:t>5. rafforzamento dei fattori di sviluppo locale.</w:t>
      </w:r>
    </w:p>
    <w:p w14:paraId="29A3B1BA" w14:textId="2542BD45" w:rsidR="009C486B" w:rsidRPr="009C486B" w:rsidRDefault="00851556" w:rsidP="00AC4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traguardo di tutta la strategia è il rafforzamento della struttura demografica interna alle Aree interne (arresto dello spopolamento, crescita dell’indice di natalità e il riequilibrio della composizione della popolazione per fasce d’età).</w:t>
      </w:r>
    </w:p>
    <w:p w14:paraId="1B63406B" w14:textId="0C63B74B" w:rsidR="009C486B" w:rsidRDefault="009C486B" w:rsidP="00AC49F1">
      <w:pPr>
        <w:spacing w:after="0" w:line="360" w:lineRule="auto"/>
        <w:jc w:val="both"/>
        <w:rPr>
          <w:rFonts w:ascii="Times New Roman" w:hAnsi="Times New Roman" w:cs="Times New Roman"/>
          <w:sz w:val="24"/>
          <w:szCs w:val="24"/>
        </w:rPr>
      </w:pPr>
    </w:p>
    <w:p w14:paraId="687B66B3" w14:textId="77777777" w:rsidR="00851556" w:rsidRPr="009C486B" w:rsidRDefault="00851556" w:rsidP="00AC49F1">
      <w:pPr>
        <w:spacing w:after="0" w:line="360" w:lineRule="auto"/>
        <w:jc w:val="both"/>
        <w:rPr>
          <w:rFonts w:ascii="Times New Roman" w:hAnsi="Times New Roman" w:cs="Times New Roman"/>
          <w:sz w:val="24"/>
          <w:szCs w:val="24"/>
        </w:rPr>
      </w:pPr>
    </w:p>
    <w:p w14:paraId="4364F444" w14:textId="07E5F135" w:rsidR="00572FF2" w:rsidRPr="00572FF2" w:rsidRDefault="00572FF2" w:rsidP="00AC49F1">
      <w:pPr>
        <w:spacing w:after="0" w:line="360" w:lineRule="auto"/>
        <w:jc w:val="both"/>
        <w:rPr>
          <w:rFonts w:ascii="Times New Roman" w:hAnsi="Times New Roman" w:cs="Times New Roman"/>
          <w:i/>
          <w:iCs/>
          <w:sz w:val="24"/>
          <w:szCs w:val="24"/>
        </w:rPr>
      </w:pPr>
      <w:r w:rsidRPr="00572FF2">
        <w:rPr>
          <w:rFonts w:ascii="Times New Roman" w:hAnsi="Times New Roman" w:cs="Times New Roman"/>
          <w:i/>
          <w:iCs/>
          <w:sz w:val="24"/>
          <w:szCs w:val="24"/>
        </w:rPr>
        <w:t>Conclusione</w:t>
      </w:r>
    </w:p>
    <w:p w14:paraId="1CDCFF75" w14:textId="33FA7636" w:rsidR="00851556" w:rsidRDefault="00851556" w:rsidP="00AC4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sociologia chiamiamo </w:t>
      </w:r>
      <w:r w:rsidRPr="007C01DB">
        <w:rPr>
          <w:rFonts w:ascii="Times New Roman" w:hAnsi="Times New Roman" w:cs="Times New Roman"/>
          <w:i/>
          <w:iCs/>
          <w:sz w:val="24"/>
          <w:szCs w:val="24"/>
        </w:rPr>
        <w:t>effetti perversi</w:t>
      </w:r>
      <w:r>
        <w:rPr>
          <w:rFonts w:ascii="Times New Roman" w:hAnsi="Times New Roman" w:cs="Times New Roman"/>
          <w:sz w:val="24"/>
          <w:szCs w:val="24"/>
        </w:rPr>
        <w:t xml:space="preserve"> quelli che si verificano a dispetto delle aspettative iniziali degli attori</w:t>
      </w:r>
      <w:r w:rsidR="007C01DB">
        <w:rPr>
          <w:rFonts w:ascii="Times New Roman" w:hAnsi="Times New Roman" w:cs="Times New Roman"/>
          <w:sz w:val="24"/>
          <w:szCs w:val="24"/>
        </w:rPr>
        <w:t xml:space="preserve"> sociali singoli o collettivi. Ciò avviene quando non vengono tenuti nella giusta considerazione gli elementi non razionali delle azioni sociali. Ovvero, quando si crede che gli attori sociali possano essere tenuti sotto controllo da modelli standard </w:t>
      </w:r>
      <w:r w:rsidR="00313E38">
        <w:rPr>
          <w:rFonts w:ascii="Times New Roman" w:hAnsi="Times New Roman" w:cs="Times New Roman"/>
          <w:sz w:val="24"/>
          <w:szCs w:val="24"/>
        </w:rPr>
        <w:t xml:space="preserve">più o meno condivisi </w:t>
      </w:r>
      <w:r w:rsidR="007C01DB">
        <w:rPr>
          <w:rFonts w:ascii="Times New Roman" w:hAnsi="Times New Roman" w:cs="Times New Roman"/>
          <w:sz w:val="24"/>
          <w:szCs w:val="24"/>
        </w:rPr>
        <w:t xml:space="preserve">e </w:t>
      </w:r>
      <w:r w:rsidR="00313E38">
        <w:rPr>
          <w:rFonts w:ascii="Times New Roman" w:hAnsi="Times New Roman" w:cs="Times New Roman"/>
          <w:sz w:val="24"/>
          <w:szCs w:val="24"/>
        </w:rPr>
        <w:t xml:space="preserve">quando non </w:t>
      </w:r>
      <w:r w:rsidR="007C01DB">
        <w:rPr>
          <w:rFonts w:ascii="Times New Roman" w:hAnsi="Times New Roman" w:cs="Times New Roman"/>
          <w:sz w:val="24"/>
          <w:szCs w:val="24"/>
        </w:rPr>
        <w:t xml:space="preserve">si </w:t>
      </w:r>
      <w:r w:rsidR="00313E38">
        <w:rPr>
          <w:rFonts w:ascii="Times New Roman" w:hAnsi="Times New Roman" w:cs="Times New Roman"/>
          <w:sz w:val="24"/>
          <w:szCs w:val="24"/>
        </w:rPr>
        <w:t xml:space="preserve">tiene conto delle diverse </w:t>
      </w:r>
      <w:r w:rsidR="007C01DB">
        <w:rPr>
          <w:rFonts w:ascii="Times New Roman" w:hAnsi="Times New Roman" w:cs="Times New Roman"/>
          <w:sz w:val="24"/>
          <w:szCs w:val="24"/>
        </w:rPr>
        <w:t xml:space="preserve">costellazioni valoriali </w:t>
      </w:r>
      <w:r w:rsidR="00313E38">
        <w:rPr>
          <w:rFonts w:ascii="Times New Roman" w:hAnsi="Times New Roman" w:cs="Times New Roman"/>
          <w:sz w:val="24"/>
          <w:szCs w:val="24"/>
        </w:rPr>
        <w:t xml:space="preserve">a cui fanno </w:t>
      </w:r>
      <w:r w:rsidR="007C01DB">
        <w:rPr>
          <w:rFonts w:ascii="Times New Roman" w:hAnsi="Times New Roman" w:cs="Times New Roman"/>
          <w:sz w:val="24"/>
          <w:szCs w:val="24"/>
        </w:rPr>
        <w:t xml:space="preserve">riferimento </w:t>
      </w:r>
      <w:r w:rsidR="00313E38">
        <w:rPr>
          <w:rFonts w:ascii="Times New Roman" w:hAnsi="Times New Roman" w:cs="Times New Roman"/>
          <w:sz w:val="24"/>
          <w:szCs w:val="24"/>
        </w:rPr>
        <w:t>gli attori locali</w:t>
      </w:r>
      <w:r w:rsidR="007C01DB">
        <w:rPr>
          <w:rFonts w:ascii="Times New Roman" w:hAnsi="Times New Roman" w:cs="Times New Roman"/>
          <w:sz w:val="24"/>
          <w:szCs w:val="24"/>
        </w:rPr>
        <w:t>.</w:t>
      </w:r>
    </w:p>
    <w:p w14:paraId="7C6D02F7" w14:textId="77777777" w:rsidR="007C01DB" w:rsidRDefault="007C01DB" w:rsidP="00AC4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ridurre al minimo il rischio degli effetti perversi è indispensabile operare </w:t>
      </w:r>
      <w:r w:rsidR="007D4BB7">
        <w:rPr>
          <w:rFonts w:ascii="Times New Roman" w:hAnsi="Times New Roman" w:cs="Times New Roman"/>
          <w:sz w:val="24"/>
          <w:szCs w:val="24"/>
        </w:rPr>
        <w:t xml:space="preserve">una scelta prioritaria: quella di mettere i bisogni delle persone all’inizio dei processi e di </w:t>
      </w:r>
      <w:r w:rsidR="007D4BB7" w:rsidRPr="007C01DB">
        <w:rPr>
          <w:rFonts w:ascii="Times New Roman" w:hAnsi="Times New Roman" w:cs="Times New Roman"/>
          <w:i/>
          <w:iCs/>
          <w:sz w:val="24"/>
          <w:szCs w:val="24"/>
        </w:rPr>
        <w:t xml:space="preserve">porre le persone </w:t>
      </w:r>
      <w:r w:rsidRPr="007C01DB">
        <w:rPr>
          <w:rFonts w:ascii="Times New Roman" w:hAnsi="Times New Roman" w:cs="Times New Roman"/>
          <w:i/>
          <w:iCs/>
          <w:sz w:val="24"/>
          <w:szCs w:val="24"/>
        </w:rPr>
        <w:t xml:space="preserve">reali </w:t>
      </w:r>
      <w:r w:rsidR="007D4BB7" w:rsidRPr="007C01DB">
        <w:rPr>
          <w:rFonts w:ascii="Times New Roman" w:hAnsi="Times New Roman" w:cs="Times New Roman"/>
          <w:i/>
          <w:iCs/>
          <w:sz w:val="24"/>
          <w:szCs w:val="24"/>
        </w:rPr>
        <w:t>al centro</w:t>
      </w:r>
      <w:r w:rsidR="007D4BB7">
        <w:rPr>
          <w:rFonts w:ascii="Times New Roman" w:hAnsi="Times New Roman" w:cs="Times New Roman"/>
          <w:sz w:val="24"/>
          <w:szCs w:val="24"/>
        </w:rPr>
        <w:t xml:space="preserve"> delle stesse dinamiche di sviluppo. Diversamente, si rischia di dare risposte lì dove non vi sono domande e di non riuscire a darle alle domande reali.</w:t>
      </w:r>
    </w:p>
    <w:p w14:paraId="3442F96F" w14:textId="18612C0F" w:rsidR="00BB77D8" w:rsidRDefault="007C01DB" w:rsidP="00AC4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Porre al centro le persone significa anche dare energia collettiva ai progetti di sviluppo locale, quando essi non saranno più finanziati o più </w:t>
      </w:r>
      <w:r w:rsidR="00BB77D8">
        <w:rPr>
          <w:rFonts w:ascii="Times New Roman" w:hAnsi="Times New Roman" w:cs="Times New Roman"/>
          <w:sz w:val="24"/>
          <w:szCs w:val="24"/>
        </w:rPr>
        <w:t xml:space="preserve">comunemente quando il successo dipenderà dalla </w:t>
      </w:r>
      <w:r w:rsidR="00BB77D8" w:rsidRPr="00BB77D8">
        <w:rPr>
          <w:rFonts w:ascii="Times New Roman" w:hAnsi="Times New Roman" w:cs="Times New Roman"/>
          <w:i/>
          <w:iCs/>
          <w:sz w:val="24"/>
          <w:szCs w:val="24"/>
        </w:rPr>
        <w:t>collaborazione innovativa</w:t>
      </w:r>
      <w:r w:rsidR="00BB77D8">
        <w:rPr>
          <w:rFonts w:ascii="Times New Roman" w:hAnsi="Times New Roman" w:cs="Times New Roman"/>
          <w:sz w:val="24"/>
          <w:szCs w:val="24"/>
        </w:rPr>
        <w:t xml:space="preserve"> tra tutti gli attori sociali competenti.</w:t>
      </w:r>
    </w:p>
    <w:p w14:paraId="59C77938" w14:textId="77777777" w:rsidR="00BB77D8" w:rsidRDefault="00BB77D8"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letteratura si parla anche di</w:t>
      </w:r>
      <w:r w:rsidR="00485D41">
        <w:rPr>
          <w:rFonts w:ascii="Times New Roman" w:hAnsi="Times New Roman" w:cs="Times New Roman"/>
          <w:sz w:val="24"/>
          <w:szCs w:val="24"/>
        </w:rPr>
        <w:t xml:space="preserve"> programmazione partecipata </w:t>
      </w:r>
      <w:r>
        <w:rPr>
          <w:rFonts w:ascii="Times New Roman" w:hAnsi="Times New Roman" w:cs="Times New Roman"/>
          <w:sz w:val="24"/>
          <w:szCs w:val="24"/>
        </w:rPr>
        <w:t xml:space="preserve">che, come si sa, </w:t>
      </w:r>
      <w:r w:rsidR="00485D41">
        <w:rPr>
          <w:rFonts w:ascii="Times New Roman" w:hAnsi="Times New Roman" w:cs="Times New Roman"/>
          <w:sz w:val="24"/>
          <w:szCs w:val="24"/>
        </w:rPr>
        <w:t>si basa su</w:t>
      </w:r>
      <w:r>
        <w:rPr>
          <w:rFonts w:ascii="Times New Roman" w:hAnsi="Times New Roman" w:cs="Times New Roman"/>
          <w:sz w:val="24"/>
          <w:szCs w:val="24"/>
        </w:rPr>
        <w:t xml:space="preserve"> tre risorse interconnesse: </w:t>
      </w:r>
      <w:r w:rsidR="00485D41">
        <w:rPr>
          <w:rFonts w:ascii="Times New Roman" w:hAnsi="Times New Roman" w:cs="Times New Roman"/>
          <w:sz w:val="24"/>
          <w:szCs w:val="24"/>
        </w:rPr>
        <w:t xml:space="preserve">attori sociali, </w:t>
      </w:r>
      <w:r>
        <w:rPr>
          <w:rFonts w:ascii="Times New Roman" w:hAnsi="Times New Roman" w:cs="Times New Roman"/>
          <w:sz w:val="24"/>
          <w:szCs w:val="24"/>
        </w:rPr>
        <w:t xml:space="preserve">competenze </w:t>
      </w:r>
      <w:r w:rsidR="00485D41">
        <w:rPr>
          <w:rFonts w:ascii="Times New Roman" w:hAnsi="Times New Roman" w:cs="Times New Roman"/>
          <w:sz w:val="24"/>
          <w:szCs w:val="24"/>
        </w:rPr>
        <w:t xml:space="preserve">territoriali e opportunità concrete. </w:t>
      </w:r>
      <w:r>
        <w:rPr>
          <w:rFonts w:ascii="Times New Roman" w:hAnsi="Times New Roman" w:cs="Times New Roman"/>
          <w:sz w:val="24"/>
          <w:szCs w:val="24"/>
        </w:rPr>
        <w:t xml:space="preserve">Per un’efficace programmazione partecipata resta </w:t>
      </w:r>
      <w:r w:rsidR="00485D41">
        <w:rPr>
          <w:rFonts w:ascii="Times New Roman" w:hAnsi="Times New Roman" w:cs="Times New Roman"/>
          <w:sz w:val="24"/>
          <w:szCs w:val="24"/>
        </w:rPr>
        <w:t xml:space="preserve">fondamentale che gli attori non </w:t>
      </w:r>
      <w:r>
        <w:rPr>
          <w:rFonts w:ascii="Times New Roman" w:hAnsi="Times New Roman" w:cs="Times New Roman"/>
          <w:sz w:val="24"/>
          <w:szCs w:val="24"/>
        </w:rPr>
        <w:t xml:space="preserve">si </w:t>
      </w:r>
      <w:r w:rsidR="00485D41">
        <w:rPr>
          <w:rFonts w:ascii="Times New Roman" w:hAnsi="Times New Roman" w:cs="Times New Roman"/>
          <w:sz w:val="24"/>
          <w:szCs w:val="24"/>
        </w:rPr>
        <w:t xml:space="preserve">trovino in una situazione di sudditanza, ma che siano liberi di elaborare pratiche di </w:t>
      </w:r>
      <w:r w:rsidR="00485D41" w:rsidRPr="006B73F6">
        <w:rPr>
          <w:rFonts w:ascii="Times New Roman" w:hAnsi="Times New Roman" w:cs="Times New Roman"/>
          <w:i/>
          <w:iCs/>
          <w:sz w:val="24"/>
          <w:szCs w:val="24"/>
        </w:rPr>
        <w:t>collaborazione innovativa e non collusiva</w:t>
      </w:r>
      <w:r w:rsidR="00485D41">
        <w:rPr>
          <w:rFonts w:ascii="Times New Roman" w:hAnsi="Times New Roman" w:cs="Times New Roman"/>
          <w:sz w:val="24"/>
          <w:szCs w:val="24"/>
        </w:rPr>
        <w:t xml:space="preserve">. </w:t>
      </w:r>
    </w:p>
    <w:p w14:paraId="3AB67B7B" w14:textId="06E1B22D" w:rsidR="00BB77D8" w:rsidRDefault="00BB77D8"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ridurre il rischio degli effetti perversi e ottenere una partecipazione innovativa occorre creare un clima </w:t>
      </w:r>
      <w:r w:rsidR="00485D41">
        <w:rPr>
          <w:rFonts w:ascii="Times New Roman" w:hAnsi="Times New Roman" w:cs="Times New Roman"/>
          <w:sz w:val="24"/>
          <w:szCs w:val="24"/>
        </w:rPr>
        <w:t>di fiducia istituzionale generalizzata</w:t>
      </w:r>
      <w:r>
        <w:rPr>
          <w:rFonts w:ascii="Times New Roman" w:hAnsi="Times New Roman" w:cs="Times New Roman"/>
          <w:sz w:val="24"/>
          <w:szCs w:val="24"/>
        </w:rPr>
        <w:t xml:space="preserve"> e uno spazio dove le intelligenze territoriali possano confrontarsi tra loro e le diverse istituzioni responsabili e, insieme, creare dinamiche di coesione e sviluppo.</w:t>
      </w:r>
    </w:p>
    <w:p w14:paraId="254BF338" w14:textId="0685DAA5" w:rsidR="0055506B" w:rsidRDefault="00163C49"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 grande ausilio è la disponibilità di reti di connessioni digitali (il finanziamento delle info-strutture è, per questo scopo, un’opportunità concreta da non trascurare per niente). Le reti di intelligenza distribuita aiutano a raccogliere informazioni di pregio provenienti da altri territori e da altre esperienze di successo</w:t>
      </w:r>
      <w:r w:rsidR="0055506B">
        <w:rPr>
          <w:rFonts w:ascii="Times New Roman" w:hAnsi="Times New Roman" w:cs="Times New Roman"/>
          <w:sz w:val="24"/>
          <w:szCs w:val="24"/>
        </w:rPr>
        <w:t xml:space="preserve"> e a confrontarsi con esse, per migliorare l’affinamento delle azioni di sviluppo locale</w:t>
      </w:r>
      <w:r>
        <w:rPr>
          <w:rFonts w:ascii="Times New Roman" w:hAnsi="Times New Roman" w:cs="Times New Roman"/>
          <w:sz w:val="24"/>
          <w:szCs w:val="24"/>
        </w:rPr>
        <w:t>.</w:t>
      </w:r>
    </w:p>
    <w:p w14:paraId="6539C015" w14:textId="5B511DF1" w:rsidR="0078117C" w:rsidRDefault="00163C49"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Inoltre, esse facilitano l’apertura dei territori marginali a essere all’interno dei flussi di comunicazione globali.</w:t>
      </w:r>
      <w:r w:rsidR="0055506B">
        <w:rPr>
          <w:rFonts w:ascii="Times New Roman" w:hAnsi="Times New Roman" w:cs="Times New Roman"/>
          <w:sz w:val="24"/>
          <w:szCs w:val="24"/>
        </w:rPr>
        <w:t xml:space="preserve"> </w:t>
      </w:r>
      <w:r>
        <w:rPr>
          <w:rFonts w:ascii="Times New Roman" w:hAnsi="Times New Roman" w:cs="Times New Roman"/>
          <w:sz w:val="24"/>
          <w:szCs w:val="24"/>
        </w:rPr>
        <w:t>A mio parere, le aree interne usciranno dallo stato di marginalità se</w:t>
      </w:r>
      <w:r w:rsidR="0055506B">
        <w:rPr>
          <w:rFonts w:ascii="Times New Roman" w:hAnsi="Times New Roman" w:cs="Times New Roman"/>
          <w:sz w:val="24"/>
          <w:szCs w:val="24"/>
        </w:rPr>
        <w:t>,</w:t>
      </w:r>
      <w:r>
        <w:rPr>
          <w:rFonts w:ascii="Times New Roman" w:hAnsi="Times New Roman" w:cs="Times New Roman"/>
          <w:sz w:val="24"/>
          <w:szCs w:val="24"/>
        </w:rPr>
        <w:t xml:space="preserve"> e soltanto se</w:t>
      </w:r>
      <w:r w:rsidR="0055506B">
        <w:rPr>
          <w:rFonts w:ascii="Times New Roman" w:hAnsi="Times New Roman" w:cs="Times New Roman"/>
          <w:sz w:val="24"/>
          <w:szCs w:val="24"/>
        </w:rPr>
        <w:t>,</w:t>
      </w:r>
      <w:r>
        <w:rPr>
          <w:rFonts w:ascii="Times New Roman" w:hAnsi="Times New Roman" w:cs="Times New Roman"/>
          <w:sz w:val="24"/>
          <w:szCs w:val="24"/>
        </w:rPr>
        <w:t xml:space="preserve"> sapranno costruire reti di amicizia e stili di vita cosmopoliti.</w:t>
      </w:r>
      <w:r w:rsidR="0055506B">
        <w:rPr>
          <w:rFonts w:ascii="Times New Roman" w:hAnsi="Times New Roman" w:cs="Times New Roman"/>
          <w:sz w:val="24"/>
          <w:szCs w:val="24"/>
        </w:rPr>
        <w:t xml:space="preserve"> Cosmopolitismo significa, in questo </w:t>
      </w:r>
      <w:r w:rsidR="0078117C">
        <w:rPr>
          <w:rFonts w:ascii="Times New Roman" w:hAnsi="Times New Roman" w:cs="Times New Roman"/>
          <w:sz w:val="24"/>
          <w:szCs w:val="24"/>
        </w:rPr>
        <w:t>ambito</w:t>
      </w:r>
      <w:r w:rsidR="0055506B">
        <w:rPr>
          <w:rFonts w:ascii="Times New Roman" w:hAnsi="Times New Roman" w:cs="Times New Roman"/>
          <w:sz w:val="24"/>
          <w:szCs w:val="24"/>
        </w:rPr>
        <w:t xml:space="preserve">, libertà di movimento, possesso di conoscenze e competenze di pregio, capacità di costruire relazioni con tutti gli attori nazionali e internazionali necessari al migliorare sé stessi e la qualità di vita della collettività di appartenenza. </w:t>
      </w:r>
      <w:r w:rsidR="0078117C">
        <w:rPr>
          <w:rFonts w:ascii="Times New Roman" w:hAnsi="Times New Roman" w:cs="Times New Roman"/>
          <w:sz w:val="24"/>
          <w:szCs w:val="24"/>
        </w:rPr>
        <w:t>Cosmopolitismo non è un comportamento di rinuncia alle specificità territoriali, ma è un atteggiamento di apertura relazionale anche per valorizzare quelle specificità locali, inserendole in flussi nazionali e internazionali.</w:t>
      </w:r>
    </w:p>
    <w:p w14:paraId="02649203" w14:textId="26BC00AD" w:rsidR="00B57F3A" w:rsidRDefault="0055506B"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soggetto cosmopolita cerca autenticità relazionale e qualità di vita, non soltanto per sé stesso ma per tutti i componenti della sua rete di relazioni. Egli sa che se coloro che gli sono attorno stanno bene e vivono in condizioni di benessere, si genera una dinamica dalla qualità generalizzata.</w:t>
      </w:r>
      <w:r w:rsidR="006B73F6">
        <w:rPr>
          <w:rFonts w:ascii="Times New Roman" w:hAnsi="Times New Roman" w:cs="Times New Roman"/>
          <w:sz w:val="24"/>
          <w:szCs w:val="24"/>
        </w:rPr>
        <w:t xml:space="preserve"> </w:t>
      </w:r>
      <w:r w:rsidR="00B57F3A">
        <w:rPr>
          <w:rFonts w:ascii="Times New Roman" w:hAnsi="Times New Roman" w:cs="Times New Roman"/>
          <w:sz w:val="24"/>
          <w:szCs w:val="24"/>
        </w:rPr>
        <w:t>Nell’accezione sociologica, il cosmopolitismo è caratterizzato da un’etica solidaristica e un generale atteggiamento tollerante verso le differenze</w:t>
      </w:r>
      <w:r w:rsidR="003F1D65">
        <w:rPr>
          <w:rFonts w:ascii="Times New Roman" w:hAnsi="Times New Roman" w:cs="Times New Roman"/>
          <w:sz w:val="24"/>
          <w:szCs w:val="24"/>
        </w:rPr>
        <w:t xml:space="preserve"> identitarie,</w:t>
      </w:r>
      <w:r w:rsidR="00B57F3A">
        <w:rPr>
          <w:rFonts w:ascii="Times New Roman" w:hAnsi="Times New Roman" w:cs="Times New Roman"/>
          <w:sz w:val="24"/>
          <w:szCs w:val="24"/>
        </w:rPr>
        <w:t xml:space="preserve"> culturali e antropologiche.</w:t>
      </w:r>
    </w:p>
    <w:p w14:paraId="08A635B8" w14:textId="53FAB1B6" w:rsidR="0055506B" w:rsidRDefault="006B73F6" w:rsidP="0048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giovani, che più di altri fuggono dalle aree interne, troverebbero nel cosmopolitismo locale un luogo dove radicare le nuove costellazioni valoriali </w:t>
      </w:r>
      <w:r w:rsidR="003C4014">
        <w:rPr>
          <w:rFonts w:ascii="Times New Roman" w:hAnsi="Times New Roman" w:cs="Times New Roman"/>
          <w:sz w:val="24"/>
          <w:szCs w:val="24"/>
        </w:rPr>
        <w:t xml:space="preserve">che, da decenni, cercano altrove. </w:t>
      </w:r>
      <w:r w:rsidR="00B57F3A">
        <w:rPr>
          <w:rFonts w:ascii="Times New Roman" w:hAnsi="Times New Roman" w:cs="Times New Roman"/>
          <w:sz w:val="24"/>
          <w:szCs w:val="24"/>
        </w:rPr>
        <w:t>In quest</w:t>
      </w:r>
      <w:r w:rsidR="00004831">
        <w:rPr>
          <w:rFonts w:ascii="Times New Roman" w:hAnsi="Times New Roman" w:cs="Times New Roman"/>
          <w:sz w:val="24"/>
          <w:szCs w:val="24"/>
        </w:rPr>
        <w:t xml:space="preserve">a ricerca esperienziale troverebbero un aiuto nelle </w:t>
      </w:r>
      <w:proofErr w:type="gramStart"/>
      <w:r w:rsidR="003F1D65">
        <w:rPr>
          <w:rFonts w:ascii="Times New Roman" w:hAnsi="Times New Roman" w:cs="Times New Roman"/>
          <w:sz w:val="24"/>
          <w:szCs w:val="24"/>
        </w:rPr>
        <w:t>infra</w:t>
      </w:r>
      <w:r w:rsidR="00004831">
        <w:rPr>
          <w:rFonts w:ascii="Times New Roman" w:hAnsi="Times New Roman" w:cs="Times New Roman"/>
          <w:sz w:val="24"/>
          <w:szCs w:val="24"/>
        </w:rPr>
        <w:t>-</w:t>
      </w:r>
      <w:r w:rsidR="003F1D65">
        <w:rPr>
          <w:rFonts w:ascii="Times New Roman" w:hAnsi="Times New Roman" w:cs="Times New Roman"/>
          <w:sz w:val="24"/>
          <w:szCs w:val="24"/>
        </w:rPr>
        <w:t>strutture</w:t>
      </w:r>
      <w:proofErr w:type="gramEnd"/>
      <w:r w:rsidR="00B57F3A">
        <w:rPr>
          <w:rFonts w:ascii="Times New Roman" w:hAnsi="Times New Roman" w:cs="Times New Roman"/>
          <w:sz w:val="24"/>
          <w:szCs w:val="24"/>
        </w:rPr>
        <w:t xml:space="preserve"> viarie e </w:t>
      </w:r>
      <w:r w:rsidR="00004831">
        <w:rPr>
          <w:rFonts w:ascii="Times New Roman" w:hAnsi="Times New Roman" w:cs="Times New Roman"/>
          <w:sz w:val="24"/>
          <w:szCs w:val="24"/>
        </w:rPr>
        <w:t>ne</w:t>
      </w:r>
      <w:r w:rsidR="00B57F3A">
        <w:rPr>
          <w:rFonts w:ascii="Times New Roman" w:hAnsi="Times New Roman" w:cs="Times New Roman"/>
          <w:sz w:val="24"/>
          <w:szCs w:val="24"/>
        </w:rPr>
        <w:t xml:space="preserve">lle info-strutture </w:t>
      </w:r>
      <w:r w:rsidR="00004831">
        <w:rPr>
          <w:rFonts w:ascii="Times New Roman" w:hAnsi="Times New Roman" w:cs="Times New Roman"/>
          <w:sz w:val="24"/>
          <w:szCs w:val="24"/>
        </w:rPr>
        <w:t>digitali</w:t>
      </w:r>
      <w:r w:rsidR="00B57F3A">
        <w:rPr>
          <w:rFonts w:ascii="Times New Roman" w:hAnsi="Times New Roman" w:cs="Times New Roman"/>
          <w:sz w:val="24"/>
          <w:szCs w:val="24"/>
        </w:rPr>
        <w:t>.</w:t>
      </w:r>
    </w:p>
    <w:p w14:paraId="00E3D741" w14:textId="77777777" w:rsidR="00163C49" w:rsidRDefault="00163C49" w:rsidP="00485D41">
      <w:pPr>
        <w:spacing w:after="0" w:line="360" w:lineRule="auto"/>
        <w:jc w:val="both"/>
        <w:rPr>
          <w:rFonts w:ascii="Times New Roman" w:hAnsi="Times New Roman" w:cs="Times New Roman"/>
          <w:sz w:val="24"/>
          <w:szCs w:val="24"/>
        </w:rPr>
      </w:pPr>
    </w:p>
    <w:p w14:paraId="57714EC1" w14:textId="77777777" w:rsidR="009E572E" w:rsidRDefault="009E572E">
      <w:pPr>
        <w:rPr>
          <w:rFonts w:ascii="Times New Roman" w:hAnsi="Times New Roman" w:cs="Times New Roman"/>
          <w:b/>
          <w:bCs/>
          <w:sz w:val="24"/>
          <w:szCs w:val="24"/>
        </w:rPr>
      </w:pPr>
      <w:r>
        <w:rPr>
          <w:rFonts w:ascii="Times New Roman" w:hAnsi="Times New Roman" w:cs="Times New Roman"/>
          <w:b/>
          <w:bCs/>
          <w:sz w:val="24"/>
          <w:szCs w:val="24"/>
        </w:rPr>
        <w:br w:type="page"/>
      </w:r>
    </w:p>
    <w:p w14:paraId="6B84C8D0" w14:textId="1B688DF4" w:rsidR="00EC4CD8" w:rsidRDefault="009E572E" w:rsidP="00485D4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PNRR e Aree Interne</w:t>
      </w:r>
    </w:p>
    <w:p w14:paraId="6F5C07D9" w14:textId="77777777" w:rsidR="009E572E" w:rsidRPr="009E572E" w:rsidRDefault="009E572E" w:rsidP="00485D41">
      <w:pPr>
        <w:spacing w:after="0" w:line="360" w:lineRule="auto"/>
        <w:jc w:val="both"/>
        <w:rPr>
          <w:rFonts w:ascii="Times New Roman" w:hAnsi="Times New Roman" w:cs="Times New Roman"/>
          <w:b/>
          <w:bCs/>
          <w:sz w:val="24"/>
          <w:szCs w:val="24"/>
        </w:rPr>
      </w:pPr>
    </w:p>
    <w:p w14:paraId="1B8AB9DF" w14:textId="77777777" w:rsidR="00EC4CD8" w:rsidRPr="0055506B" w:rsidRDefault="00EC4CD8" w:rsidP="0055506B">
      <w:pPr>
        <w:spacing w:after="0" w:line="240" w:lineRule="auto"/>
        <w:ind w:left="708"/>
        <w:jc w:val="both"/>
        <w:rPr>
          <w:rFonts w:ascii="Times New Roman" w:hAnsi="Times New Roman" w:cs="Times New Roman"/>
        </w:rPr>
      </w:pPr>
      <w:r w:rsidRPr="0055506B">
        <w:rPr>
          <w:rFonts w:ascii="Times New Roman" w:hAnsi="Times New Roman" w:cs="Times New Roman"/>
        </w:rPr>
        <w:t>Il Piano Nazionale Ripresa e Resilienza (PNRR), il documento stipulato dal governo per l'accesso ai finanziamenti del Next Generation EU, prevede di integrare i fondi destinati alle aree interne per un importo di 2,1 miliardi di euro durante il periodo 2021-2027.</w:t>
      </w:r>
    </w:p>
    <w:p w14:paraId="34096A91" w14:textId="77777777" w:rsidR="00EC4CD8" w:rsidRPr="0055506B" w:rsidRDefault="00EC4CD8" w:rsidP="0055506B">
      <w:pPr>
        <w:spacing w:after="0" w:line="240" w:lineRule="auto"/>
        <w:ind w:left="708"/>
        <w:jc w:val="both"/>
        <w:rPr>
          <w:rFonts w:ascii="Times New Roman" w:hAnsi="Times New Roman" w:cs="Times New Roman"/>
        </w:rPr>
      </w:pPr>
      <w:r w:rsidRPr="0055506B">
        <w:rPr>
          <w:rFonts w:ascii="Times New Roman" w:hAnsi="Times New Roman" w:cs="Times New Roman"/>
        </w:rPr>
        <w:t>Nel Documento finale del Piano Nazionale di Ripresa e Resilienza, le Aree interne sono oggetto della Missione n.5 e, nello specifico, una preoccupazione tale da meritare sia un rafforzamento dei fondi finanziari a esse dedicati, sia due specifiche linee di intervento. Il Piano dedica alla Strategia per le aree interne il 42% dell’intero finanziamento finalizzato alla Coesione territoriale (830 milioni sui circa 2 miliardi appostati).</w:t>
      </w:r>
    </w:p>
    <w:p w14:paraId="684A0C3F" w14:textId="77777777" w:rsidR="00EC4CD8" w:rsidRPr="0055506B" w:rsidRDefault="00EC4CD8" w:rsidP="0055506B">
      <w:pPr>
        <w:spacing w:after="0" w:line="240" w:lineRule="auto"/>
        <w:ind w:left="1417"/>
        <w:jc w:val="both"/>
        <w:rPr>
          <w:rFonts w:ascii="Times New Roman" w:hAnsi="Times New Roman" w:cs="Times New Roman"/>
          <w:i/>
          <w:iCs/>
        </w:rPr>
      </w:pPr>
      <w:r w:rsidRPr="0055506B">
        <w:rPr>
          <w:rFonts w:ascii="Times New Roman" w:hAnsi="Times New Roman" w:cs="Times New Roman"/>
          <w:i/>
          <w:iCs/>
        </w:rPr>
        <w:t>Investimento 1: Strategia nazionale per le aree interne</w:t>
      </w:r>
    </w:p>
    <w:p w14:paraId="7BC4C957" w14:textId="675B5F61"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 xml:space="preserve">Le Aree Interne costituiscono circa tre quinti dell’intero territorio nazionale, distribuite da Nord a Sud, e presentano caratteristiche simili: a) grandi ricchezze naturali, paesaggistiche e culturali, b) distanza dai grandi agglomerati urbani e dai centri di servizi, c) potenzialità di sviluppo centrate sulla combinazione di innovazione e tradizione. Per il rilancio e la valorizzazione delle Aree Interne è necessario sostenere investimenti che innalzino l’attrattività di questi luoghi, invertendo </w:t>
      </w:r>
      <w:proofErr w:type="gramStart"/>
      <w:r w:rsidRPr="0055506B">
        <w:rPr>
          <w:rFonts w:ascii="Times New Roman" w:hAnsi="Times New Roman" w:cs="Times New Roman"/>
        </w:rPr>
        <w:t>i trend</w:t>
      </w:r>
      <w:proofErr w:type="gramEnd"/>
      <w:r w:rsidRPr="0055506B">
        <w:rPr>
          <w:rFonts w:ascii="Times New Roman" w:hAnsi="Times New Roman" w:cs="Times New Roman"/>
        </w:rPr>
        <w:t xml:space="preserve"> di declino che le colpiscono (infrastrutturali, demografici, economici), e facilitino meccanismi di sviluppo. Il supporto del PNRR si articola nelle seguenti due linee di intervento:</w:t>
      </w:r>
    </w:p>
    <w:p w14:paraId="476D037E" w14:textId="77777777" w:rsidR="00EC4CD8" w:rsidRPr="0055506B" w:rsidRDefault="00EC4CD8" w:rsidP="0055506B">
      <w:pPr>
        <w:spacing w:after="0" w:line="240" w:lineRule="auto"/>
        <w:ind w:left="1417"/>
        <w:jc w:val="both"/>
        <w:rPr>
          <w:rFonts w:ascii="Times New Roman" w:hAnsi="Times New Roman" w:cs="Times New Roman"/>
          <w:i/>
          <w:iCs/>
        </w:rPr>
      </w:pPr>
      <w:r w:rsidRPr="0055506B">
        <w:rPr>
          <w:rFonts w:ascii="Times New Roman" w:hAnsi="Times New Roman" w:cs="Times New Roman"/>
          <w:i/>
          <w:iCs/>
        </w:rPr>
        <w:t>Potenziamento servizi e infrastrutture sociali di comunità</w:t>
      </w:r>
    </w:p>
    <w:p w14:paraId="3C2BE066" w14:textId="77777777"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L’intervento mira ad agevolare la soluzione a problemi di disagio e fragilità sociale, mediante</w:t>
      </w:r>
    </w:p>
    <w:p w14:paraId="7A4C8AE8" w14:textId="77777777"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l’intensificazione dell’erogazione di servizi (agli anziani, ai giovani in difficoltà, servizi di natura socioassistenziale, etc.), anche facilitando l’accessibilità ai territori e i collegamenti con i centri urbani. L’attuazione prevede l’incremento dei fondi sotto forma di trasferimenti destinati alle autorità locali per la realizzazione d’infrastrutture sociali che possano servire ad incrementare l’erogazione di servizi sul territorio.</w:t>
      </w:r>
    </w:p>
    <w:p w14:paraId="6579EF06" w14:textId="77777777" w:rsidR="00EC4CD8" w:rsidRPr="0055506B" w:rsidRDefault="00EC4CD8" w:rsidP="0055506B">
      <w:pPr>
        <w:spacing w:after="0" w:line="240" w:lineRule="auto"/>
        <w:ind w:left="1417"/>
        <w:jc w:val="both"/>
        <w:rPr>
          <w:rFonts w:ascii="Times New Roman" w:hAnsi="Times New Roman" w:cs="Times New Roman"/>
          <w:i/>
          <w:iCs/>
        </w:rPr>
      </w:pPr>
      <w:r w:rsidRPr="0055506B">
        <w:rPr>
          <w:rFonts w:ascii="Times New Roman" w:hAnsi="Times New Roman" w:cs="Times New Roman"/>
          <w:i/>
          <w:iCs/>
        </w:rPr>
        <w:t>Servizi sanitari di prossimità</w:t>
      </w:r>
    </w:p>
    <w:p w14:paraId="11D3A60E" w14:textId="77777777"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Il consolidamento delle farmacie rurali convenzionate dei centri con meno di 3.000 abitanti mira a renderle strutture in grado di erogare servizi sanitari territoriali, per coprire maggiormente la gamma di servizi sanitari offerta alla popolazione di queste aree marginalizzate. Le farmacie, quindi, potranno rafforzare ruolo e funzione. L’attuazione consiste nell’assegnazione di risorse finanziarie pubbliche per incentivare i privati a investire</w:t>
      </w:r>
    </w:p>
    <w:p w14:paraId="7F9617A3" w14:textId="77777777"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nell’adeguamento delle farmacie al fine di rafforzarne il ruolo di erogatori di servizi sanitari, (i) partecipando al servizio integrato di assistenza domiciliare; (ii) fornendo prestazioni di secondo livello, attraverso percorsi diagnostico-terapeutici previsti per patologie specifiche; (iii) erogando farmaci che il paziente è ora costretto a ritirare in ospedale; (iv) monitorando pazienti con la cartella clinica elettronica e il fascicolo farmaceutico. La misura prevede di favorire il co-investimento privato pari a circa il 50 per cento dell’intervento pubblico stanziato con un accordo tra ACT, Ministero della Salute ed Enti locali.</w:t>
      </w:r>
    </w:p>
    <w:p w14:paraId="3C15BD07" w14:textId="000C50AB" w:rsidR="00EC4CD8" w:rsidRPr="0055506B" w:rsidRDefault="00EC4CD8" w:rsidP="0055506B">
      <w:pPr>
        <w:spacing w:after="0" w:line="240" w:lineRule="auto"/>
        <w:ind w:left="1417"/>
        <w:jc w:val="both"/>
        <w:rPr>
          <w:rFonts w:ascii="Times New Roman" w:hAnsi="Times New Roman" w:cs="Times New Roman"/>
        </w:rPr>
      </w:pPr>
      <w:r w:rsidRPr="0055506B">
        <w:rPr>
          <w:rFonts w:ascii="Times New Roman" w:hAnsi="Times New Roman" w:cs="Times New Roman"/>
        </w:rPr>
        <w:t>(</w:t>
      </w:r>
      <w:r w:rsidR="00564EED">
        <w:rPr>
          <w:rFonts w:ascii="Times New Roman" w:hAnsi="Times New Roman" w:cs="Times New Roman"/>
        </w:rPr>
        <w:t xml:space="preserve">Fonte: </w:t>
      </w:r>
      <w:r w:rsidRPr="0055506B">
        <w:rPr>
          <w:rFonts w:ascii="Times New Roman" w:hAnsi="Times New Roman" w:cs="Times New Roman"/>
        </w:rPr>
        <w:t>PNRR, p. 219; https://www.governo.it/sites/governo.it/files/PNRR.pdf)</w:t>
      </w:r>
    </w:p>
    <w:p w14:paraId="00EAD5C6" w14:textId="77777777" w:rsidR="00EC4CD8" w:rsidRDefault="00EC4CD8" w:rsidP="00485D41">
      <w:pPr>
        <w:spacing w:after="0" w:line="360" w:lineRule="auto"/>
        <w:jc w:val="both"/>
        <w:rPr>
          <w:rFonts w:ascii="Times New Roman" w:hAnsi="Times New Roman" w:cs="Times New Roman"/>
          <w:sz w:val="24"/>
          <w:szCs w:val="24"/>
        </w:rPr>
      </w:pPr>
    </w:p>
    <w:p w14:paraId="2860B372" w14:textId="20D0DFB4" w:rsidR="00933941" w:rsidRDefault="00933941" w:rsidP="00AC49F1">
      <w:pPr>
        <w:spacing w:after="0" w:line="360" w:lineRule="auto"/>
        <w:jc w:val="both"/>
        <w:rPr>
          <w:rFonts w:ascii="Times New Roman" w:hAnsi="Times New Roman" w:cs="Times New Roman"/>
          <w:sz w:val="24"/>
          <w:szCs w:val="24"/>
        </w:rPr>
      </w:pPr>
    </w:p>
    <w:p w14:paraId="0822B437" w14:textId="366861D2" w:rsidR="00933941" w:rsidRDefault="00933941" w:rsidP="00AC49F1">
      <w:pPr>
        <w:spacing w:after="0" w:line="360" w:lineRule="auto"/>
        <w:jc w:val="both"/>
        <w:rPr>
          <w:rFonts w:ascii="Times New Roman" w:hAnsi="Times New Roman" w:cs="Times New Roman"/>
          <w:sz w:val="24"/>
          <w:szCs w:val="24"/>
        </w:rPr>
      </w:pPr>
    </w:p>
    <w:p w14:paraId="3B8C3CC9" w14:textId="77777777" w:rsidR="00933941" w:rsidRPr="00933941" w:rsidRDefault="00933941" w:rsidP="00933941">
      <w:pPr>
        <w:spacing w:after="0" w:line="360" w:lineRule="auto"/>
        <w:jc w:val="both"/>
        <w:rPr>
          <w:rFonts w:ascii="Times New Roman" w:hAnsi="Times New Roman" w:cs="Times New Roman"/>
          <w:sz w:val="24"/>
          <w:szCs w:val="24"/>
        </w:rPr>
      </w:pPr>
    </w:p>
    <w:p w14:paraId="0E04C05E" w14:textId="77777777" w:rsidR="00933941" w:rsidRPr="00933941" w:rsidRDefault="00933941" w:rsidP="00933941">
      <w:pPr>
        <w:spacing w:after="0" w:line="360" w:lineRule="auto"/>
        <w:jc w:val="both"/>
        <w:rPr>
          <w:rFonts w:ascii="Times New Roman" w:hAnsi="Times New Roman" w:cs="Times New Roman"/>
          <w:sz w:val="24"/>
          <w:szCs w:val="24"/>
        </w:rPr>
      </w:pPr>
    </w:p>
    <w:p w14:paraId="6F866114" w14:textId="11473CD9" w:rsidR="00933941" w:rsidRDefault="00933941" w:rsidP="00933941">
      <w:pPr>
        <w:spacing w:after="0" w:line="360" w:lineRule="auto"/>
        <w:jc w:val="both"/>
        <w:rPr>
          <w:rFonts w:ascii="Times New Roman" w:hAnsi="Times New Roman" w:cs="Times New Roman"/>
          <w:sz w:val="24"/>
          <w:szCs w:val="24"/>
        </w:rPr>
      </w:pPr>
    </w:p>
    <w:p w14:paraId="74F5F89E" w14:textId="1EA7F61F" w:rsidR="006D6B21" w:rsidRDefault="006D6B21">
      <w:pPr>
        <w:rPr>
          <w:rFonts w:ascii="Times New Roman" w:hAnsi="Times New Roman" w:cs="Times New Roman"/>
          <w:sz w:val="24"/>
          <w:szCs w:val="24"/>
        </w:rPr>
      </w:pPr>
      <w:r>
        <w:rPr>
          <w:rFonts w:ascii="Times New Roman" w:hAnsi="Times New Roman" w:cs="Times New Roman"/>
          <w:sz w:val="24"/>
          <w:szCs w:val="24"/>
        </w:rPr>
        <w:br w:type="page"/>
      </w:r>
    </w:p>
    <w:p w14:paraId="1F690951" w14:textId="3734D922" w:rsidR="006D6B21" w:rsidRPr="009E572E" w:rsidRDefault="009E572E" w:rsidP="00B01A76">
      <w:pPr>
        <w:spacing w:after="0" w:line="240" w:lineRule="auto"/>
        <w:jc w:val="both"/>
        <w:rPr>
          <w:rFonts w:ascii="Times New Roman" w:hAnsi="Times New Roman" w:cs="Times New Roman"/>
          <w:b/>
          <w:bCs/>
          <w:sz w:val="24"/>
          <w:szCs w:val="24"/>
        </w:rPr>
      </w:pPr>
      <w:r w:rsidRPr="009E572E">
        <w:rPr>
          <w:rFonts w:ascii="Times New Roman" w:hAnsi="Times New Roman" w:cs="Times New Roman"/>
          <w:b/>
          <w:bCs/>
          <w:sz w:val="24"/>
          <w:szCs w:val="24"/>
        </w:rPr>
        <w:lastRenderedPageBreak/>
        <w:t>Aree Interne Campania</w:t>
      </w:r>
    </w:p>
    <w:p w14:paraId="34053C28" w14:textId="77777777" w:rsidR="009E572E" w:rsidRDefault="009E572E" w:rsidP="00B01A76">
      <w:pPr>
        <w:spacing w:after="0" w:line="240" w:lineRule="auto"/>
        <w:jc w:val="both"/>
        <w:rPr>
          <w:rFonts w:ascii="Times New Roman" w:hAnsi="Times New Roman" w:cs="Times New Roman"/>
          <w:sz w:val="24"/>
          <w:szCs w:val="24"/>
        </w:rPr>
      </w:pPr>
    </w:p>
    <w:p w14:paraId="1B973A2D" w14:textId="77777777" w:rsidR="006D6B21" w:rsidRPr="006D6B21" w:rsidRDefault="006D6B21" w:rsidP="00B01A76">
      <w:pPr>
        <w:spacing w:after="0" w:line="240" w:lineRule="auto"/>
        <w:jc w:val="both"/>
        <w:rPr>
          <w:rFonts w:ascii="Times New Roman" w:hAnsi="Times New Roman" w:cs="Times New Roman"/>
          <w:i/>
          <w:iCs/>
          <w:sz w:val="24"/>
          <w:szCs w:val="24"/>
        </w:rPr>
      </w:pPr>
      <w:r w:rsidRPr="006D6B21">
        <w:rPr>
          <w:rFonts w:ascii="Times New Roman" w:hAnsi="Times New Roman" w:cs="Times New Roman"/>
          <w:i/>
          <w:iCs/>
          <w:sz w:val="24"/>
          <w:szCs w:val="24"/>
        </w:rPr>
        <w:t>Area Pilota: Alta Irpinia</w:t>
      </w:r>
    </w:p>
    <w:p w14:paraId="011FE85E" w14:textId="42D9E4E2" w:rsidR="006D6B21" w:rsidRPr="00933941" w:rsidRDefault="006D6B21" w:rsidP="00B01A76">
      <w:pPr>
        <w:spacing w:after="0" w:line="240" w:lineRule="auto"/>
        <w:jc w:val="both"/>
        <w:rPr>
          <w:rFonts w:ascii="Times New Roman" w:hAnsi="Times New Roman" w:cs="Times New Roman"/>
          <w:sz w:val="24"/>
          <w:szCs w:val="24"/>
        </w:rPr>
      </w:pPr>
      <w:r w:rsidRPr="00933941">
        <w:rPr>
          <w:rFonts w:ascii="Times New Roman" w:hAnsi="Times New Roman" w:cs="Times New Roman"/>
          <w:sz w:val="24"/>
          <w:szCs w:val="24"/>
        </w:rPr>
        <w:t>(Comuni: Andretta, Aquilonia, Bagnoli Irpino, Bisaccia, Cairano, Calabritto, Calitri, Caposele, Cassano Irpino,</w:t>
      </w:r>
      <w:r>
        <w:rPr>
          <w:rFonts w:ascii="Times New Roman" w:hAnsi="Times New Roman" w:cs="Times New Roman"/>
          <w:sz w:val="24"/>
          <w:szCs w:val="24"/>
        </w:rPr>
        <w:t xml:space="preserve"> </w:t>
      </w:r>
      <w:r w:rsidRPr="00933941">
        <w:rPr>
          <w:rFonts w:ascii="Times New Roman" w:hAnsi="Times New Roman" w:cs="Times New Roman"/>
          <w:sz w:val="24"/>
          <w:szCs w:val="24"/>
        </w:rPr>
        <w:t>Castelfranci, Conza della Campania, Guardia Lombardi, Lacedonia, Lioni, Montella, Monteverde, Morra De</w:t>
      </w:r>
      <w:r>
        <w:rPr>
          <w:rFonts w:ascii="Times New Roman" w:hAnsi="Times New Roman" w:cs="Times New Roman"/>
          <w:sz w:val="24"/>
          <w:szCs w:val="24"/>
        </w:rPr>
        <w:t xml:space="preserve"> </w:t>
      </w:r>
      <w:r w:rsidRPr="00933941">
        <w:rPr>
          <w:rFonts w:ascii="Times New Roman" w:hAnsi="Times New Roman" w:cs="Times New Roman"/>
          <w:sz w:val="24"/>
          <w:szCs w:val="24"/>
        </w:rPr>
        <w:t>Sanctis, Nusco, Rocca San Felice, Sant'Andrea di Conza, Sant'Angelo dei Lombardi, Senerchia, Teora, Torella dei</w:t>
      </w:r>
      <w:r>
        <w:rPr>
          <w:rFonts w:ascii="Times New Roman" w:hAnsi="Times New Roman" w:cs="Times New Roman"/>
          <w:sz w:val="24"/>
          <w:szCs w:val="24"/>
        </w:rPr>
        <w:t xml:space="preserve"> </w:t>
      </w:r>
      <w:r w:rsidRPr="00933941">
        <w:rPr>
          <w:rFonts w:ascii="Times New Roman" w:hAnsi="Times New Roman" w:cs="Times New Roman"/>
          <w:sz w:val="24"/>
          <w:szCs w:val="24"/>
        </w:rPr>
        <w:t>Lombardi, Villamaina).</w:t>
      </w:r>
    </w:p>
    <w:p w14:paraId="40220423" w14:textId="77777777" w:rsidR="006D6B21" w:rsidRPr="00933941" w:rsidRDefault="006D6B21" w:rsidP="00B01A76">
      <w:pPr>
        <w:spacing w:after="0" w:line="240" w:lineRule="auto"/>
        <w:jc w:val="both"/>
        <w:rPr>
          <w:rFonts w:ascii="Times New Roman" w:hAnsi="Times New Roman" w:cs="Times New Roman"/>
          <w:sz w:val="24"/>
          <w:szCs w:val="24"/>
        </w:rPr>
      </w:pPr>
    </w:p>
    <w:p w14:paraId="74059013" w14:textId="77777777" w:rsidR="006D6B21" w:rsidRPr="006D6B21" w:rsidRDefault="006D6B21" w:rsidP="00B01A76">
      <w:pPr>
        <w:spacing w:after="0" w:line="240" w:lineRule="auto"/>
        <w:jc w:val="both"/>
        <w:rPr>
          <w:rFonts w:ascii="Times New Roman" w:hAnsi="Times New Roman" w:cs="Times New Roman"/>
          <w:i/>
          <w:iCs/>
          <w:sz w:val="24"/>
          <w:szCs w:val="24"/>
        </w:rPr>
      </w:pPr>
      <w:r w:rsidRPr="006D6B21">
        <w:rPr>
          <w:rFonts w:ascii="Times New Roman" w:hAnsi="Times New Roman" w:cs="Times New Roman"/>
          <w:i/>
          <w:iCs/>
          <w:sz w:val="24"/>
          <w:szCs w:val="24"/>
        </w:rPr>
        <w:t>Area: Vallo di Diano</w:t>
      </w:r>
    </w:p>
    <w:p w14:paraId="6B8BFB96" w14:textId="6208DF38" w:rsidR="006D6B21" w:rsidRPr="00933941" w:rsidRDefault="006D6B21" w:rsidP="00B01A76">
      <w:pPr>
        <w:spacing w:after="0" w:line="240" w:lineRule="auto"/>
        <w:jc w:val="both"/>
        <w:rPr>
          <w:rFonts w:ascii="Times New Roman" w:hAnsi="Times New Roman" w:cs="Times New Roman"/>
          <w:sz w:val="24"/>
          <w:szCs w:val="24"/>
        </w:rPr>
      </w:pPr>
      <w:r w:rsidRPr="00933941">
        <w:rPr>
          <w:rFonts w:ascii="Times New Roman" w:hAnsi="Times New Roman" w:cs="Times New Roman"/>
          <w:sz w:val="24"/>
          <w:szCs w:val="24"/>
        </w:rPr>
        <w:t>(Comuni: Atena Lucana, Buonabitacolo, Casalbuono, Monte San Giacomo, Montesano sulla Marcellana, Padula,</w:t>
      </w:r>
      <w:r>
        <w:rPr>
          <w:rFonts w:ascii="Times New Roman" w:hAnsi="Times New Roman" w:cs="Times New Roman"/>
          <w:sz w:val="24"/>
          <w:szCs w:val="24"/>
        </w:rPr>
        <w:t xml:space="preserve"> </w:t>
      </w:r>
      <w:r w:rsidRPr="00933941">
        <w:rPr>
          <w:rFonts w:ascii="Times New Roman" w:hAnsi="Times New Roman" w:cs="Times New Roman"/>
          <w:sz w:val="24"/>
          <w:szCs w:val="24"/>
        </w:rPr>
        <w:t>Pertosa, Polla, Sala Consilina, San Pietro al Tanagro, San Rufo, Sant'Arsenio, Sanza, Sassano, Teggiano)</w:t>
      </w:r>
    </w:p>
    <w:p w14:paraId="743FACEA" w14:textId="77777777" w:rsidR="006D6B21" w:rsidRPr="00933941" w:rsidRDefault="006D6B21" w:rsidP="00B01A76">
      <w:pPr>
        <w:spacing w:after="0" w:line="240" w:lineRule="auto"/>
        <w:jc w:val="both"/>
        <w:rPr>
          <w:rFonts w:ascii="Times New Roman" w:hAnsi="Times New Roman" w:cs="Times New Roman"/>
          <w:sz w:val="24"/>
          <w:szCs w:val="24"/>
        </w:rPr>
      </w:pPr>
    </w:p>
    <w:p w14:paraId="49D97DED" w14:textId="77777777" w:rsidR="006D6B21" w:rsidRPr="006D6B21" w:rsidRDefault="006D6B21" w:rsidP="00B01A76">
      <w:pPr>
        <w:spacing w:after="0" w:line="240" w:lineRule="auto"/>
        <w:jc w:val="both"/>
        <w:rPr>
          <w:rFonts w:ascii="Times New Roman" w:hAnsi="Times New Roman" w:cs="Times New Roman"/>
          <w:i/>
          <w:iCs/>
          <w:sz w:val="24"/>
          <w:szCs w:val="24"/>
        </w:rPr>
      </w:pPr>
      <w:r w:rsidRPr="006D6B21">
        <w:rPr>
          <w:rFonts w:ascii="Times New Roman" w:hAnsi="Times New Roman" w:cs="Times New Roman"/>
          <w:i/>
          <w:iCs/>
          <w:sz w:val="24"/>
          <w:szCs w:val="24"/>
        </w:rPr>
        <w:t>Area: Cilento Interno</w:t>
      </w:r>
    </w:p>
    <w:p w14:paraId="7FA202C8" w14:textId="3EFD7E8A" w:rsidR="006D6B21" w:rsidRPr="00933941" w:rsidRDefault="006D6B21" w:rsidP="00B01A76">
      <w:pPr>
        <w:spacing w:after="0" w:line="240" w:lineRule="auto"/>
        <w:jc w:val="both"/>
        <w:rPr>
          <w:rFonts w:ascii="Times New Roman" w:hAnsi="Times New Roman" w:cs="Times New Roman"/>
          <w:sz w:val="24"/>
          <w:szCs w:val="24"/>
        </w:rPr>
      </w:pPr>
      <w:r w:rsidRPr="00933941">
        <w:rPr>
          <w:rFonts w:ascii="Times New Roman" w:hAnsi="Times New Roman" w:cs="Times New Roman"/>
          <w:sz w:val="24"/>
          <w:szCs w:val="24"/>
        </w:rPr>
        <w:t>(Comuni: Aquara, Bellosguardo, Campora, Cannalonga, Castelcivita, Castelnuovo Cilento, Castel San Lorenzo,</w:t>
      </w:r>
      <w:r>
        <w:rPr>
          <w:rFonts w:ascii="Times New Roman" w:hAnsi="Times New Roman" w:cs="Times New Roman"/>
          <w:sz w:val="24"/>
          <w:szCs w:val="24"/>
        </w:rPr>
        <w:t xml:space="preserve"> </w:t>
      </w:r>
      <w:r w:rsidRPr="00933941">
        <w:rPr>
          <w:rFonts w:ascii="Times New Roman" w:hAnsi="Times New Roman" w:cs="Times New Roman"/>
          <w:sz w:val="24"/>
          <w:szCs w:val="24"/>
        </w:rPr>
        <w:t>Ceraso, Controne, Corleto Monforte, Felitto, Gioi, Laurino, Magliano Vetere, Moio della Civitella, Monteforte</w:t>
      </w:r>
      <w:r>
        <w:rPr>
          <w:rFonts w:ascii="Times New Roman" w:hAnsi="Times New Roman" w:cs="Times New Roman"/>
          <w:sz w:val="24"/>
          <w:szCs w:val="24"/>
        </w:rPr>
        <w:t xml:space="preserve"> </w:t>
      </w:r>
      <w:r w:rsidRPr="00933941">
        <w:rPr>
          <w:rFonts w:ascii="Times New Roman" w:hAnsi="Times New Roman" w:cs="Times New Roman"/>
          <w:sz w:val="24"/>
          <w:szCs w:val="24"/>
        </w:rPr>
        <w:t>Cilento, Novi Velia, Orria, Ottati, Perito, Piaggine, Roccadaspide, Roscigno, Sacco, Salento, Sant'Angelo a</w:t>
      </w:r>
      <w:r>
        <w:rPr>
          <w:rFonts w:ascii="Times New Roman" w:hAnsi="Times New Roman" w:cs="Times New Roman"/>
          <w:sz w:val="24"/>
          <w:szCs w:val="24"/>
        </w:rPr>
        <w:t xml:space="preserve"> </w:t>
      </w:r>
      <w:r w:rsidRPr="00933941">
        <w:rPr>
          <w:rFonts w:ascii="Times New Roman" w:hAnsi="Times New Roman" w:cs="Times New Roman"/>
          <w:sz w:val="24"/>
          <w:szCs w:val="24"/>
        </w:rPr>
        <w:t>Fasanella, Stio, Valle dell'Angelo, Vallo della Lucania)</w:t>
      </w:r>
    </w:p>
    <w:p w14:paraId="0551BE67" w14:textId="77777777" w:rsidR="006D6B21" w:rsidRPr="00933941" w:rsidRDefault="006D6B21" w:rsidP="00B01A76">
      <w:pPr>
        <w:spacing w:after="0" w:line="240" w:lineRule="auto"/>
        <w:jc w:val="both"/>
        <w:rPr>
          <w:rFonts w:ascii="Times New Roman" w:hAnsi="Times New Roman" w:cs="Times New Roman"/>
          <w:sz w:val="24"/>
          <w:szCs w:val="24"/>
        </w:rPr>
      </w:pPr>
    </w:p>
    <w:p w14:paraId="2C021FC1" w14:textId="77777777" w:rsidR="006D6B21" w:rsidRPr="006D6B21" w:rsidRDefault="006D6B21" w:rsidP="00B01A76">
      <w:pPr>
        <w:spacing w:after="0" w:line="240" w:lineRule="auto"/>
        <w:jc w:val="both"/>
        <w:rPr>
          <w:rFonts w:ascii="Times New Roman" w:hAnsi="Times New Roman" w:cs="Times New Roman"/>
          <w:i/>
          <w:iCs/>
          <w:sz w:val="24"/>
          <w:szCs w:val="24"/>
        </w:rPr>
      </w:pPr>
      <w:r w:rsidRPr="006D6B21">
        <w:rPr>
          <w:rFonts w:ascii="Times New Roman" w:hAnsi="Times New Roman" w:cs="Times New Roman"/>
          <w:i/>
          <w:iCs/>
          <w:sz w:val="24"/>
          <w:szCs w:val="24"/>
        </w:rPr>
        <w:t>Area: Tammaro-</w:t>
      </w:r>
      <w:proofErr w:type="spellStart"/>
      <w:r w:rsidRPr="006D6B21">
        <w:rPr>
          <w:rFonts w:ascii="Times New Roman" w:hAnsi="Times New Roman" w:cs="Times New Roman"/>
          <w:i/>
          <w:iCs/>
          <w:sz w:val="24"/>
          <w:szCs w:val="24"/>
        </w:rPr>
        <w:t>Titerno</w:t>
      </w:r>
      <w:proofErr w:type="spellEnd"/>
    </w:p>
    <w:p w14:paraId="4B0531A3" w14:textId="2EF29166" w:rsidR="006D6B21" w:rsidRPr="00933941" w:rsidRDefault="006D6B21" w:rsidP="00B01A76">
      <w:pPr>
        <w:spacing w:after="0" w:line="240" w:lineRule="auto"/>
        <w:jc w:val="both"/>
        <w:rPr>
          <w:rFonts w:ascii="Times New Roman" w:hAnsi="Times New Roman" w:cs="Times New Roman"/>
          <w:sz w:val="24"/>
          <w:szCs w:val="24"/>
        </w:rPr>
      </w:pPr>
      <w:r w:rsidRPr="00933941">
        <w:rPr>
          <w:rFonts w:ascii="Times New Roman" w:hAnsi="Times New Roman" w:cs="Times New Roman"/>
          <w:sz w:val="24"/>
          <w:szCs w:val="24"/>
        </w:rPr>
        <w:t>(Comuni: Amorosi, Campolattaro, Castelpagano, Castelvenere, Cerreto Sannita, Circello, Colle Sannita, Cusano</w:t>
      </w:r>
      <w:r>
        <w:rPr>
          <w:rFonts w:ascii="Times New Roman" w:hAnsi="Times New Roman" w:cs="Times New Roman"/>
          <w:sz w:val="24"/>
          <w:szCs w:val="24"/>
        </w:rPr>
        <w:t xml:space="preserve"> </w:t>
      </w:r>
      <w:r w:rsidRPr="00933941">
        <w:rPr>
          <w:rFonts w:ascii="Times New Roman" w:hAnsi="Times New Roman" w:cs="Times New Roman"/>
          <w:sz w:val="24"/>
          <w:szCs w:val="24"/>
        </w:rPr>
        <w:t>Mutri, Faicchio, Fragneto l'Abate, Fragneto Monforte, Guardia Sanframondi, Morcone, Pietraroja, Pontelandolfo,</w:t>
      </w:r>
      <w:r>
        <w:rPr>
          <w:rFonts w:ascii="Times New Roman" w:hAnsi="Times New Roman" w:cs="Times New Roman"/>
          <w:sz w:val="24"/>
          <w:szCs w:val="24"/>
        </w:rPr>
        <w:t xml:space="preserve"> </w:t>
      </w:r>
      <w:r w:rsidRPr="00933941">
        <w:rPr>
          <w:rFonts w:ascii="Times New Roman" w:hAnsi="Times New Roman" w:cs="Times New Roman"/>
          <w:sz w:val="24"/>
          <w:szCs w:val="24"/>
        </w:rPr>
        <w:t>Puglianello, San Lorenzello, San Lorenzo Maggiore, San Lupo, San Salvatore Telesino, Santa Croce del Sannio,</w:t>
      </w:r>
      <w:r>
        <w:rPr>
          <w:rFonts w:ascii="Times New Roman" w:hAnsi="Times New Roman" w:cs="Times New Roman"/>
          <w:sz w:val="24"/>
          <w:szCs w:val="24"/>
        </w:rPr>
        <w:t xml:space="preserve"> </w:t>
      </w:r>
      <w:r w:rsidRPr="00933941">
        <w:rPr>
          <w:rFonts w:ascii="Times New Roman" w:hAnsi="Times New Roman" w:cs="Times New Roman"/>
          <w:sz w:val="24"/>
          <w:szCs w:val="24"/>
        </w:rPr>
        <w:t>Sassinoro, Solopaca, Telese Terme)</w:t>
      </w:r>
    </w:p>
    <w:p w14:paraId="2C99B2B1" w14:textId="737F61CC" w:rsidR="00933941" w:rsidRDefault="00933941" w:rsidP="00B01A76">
      <w:pPr>
        <w:spacing w:after="0" w:line="240" w:lineRule="auto"/>
        <w:jc w:val="both"/>
        <w:rPr>
          <w:rFonts w:ascii="Times New Roman" w:hAnsi="Times New Roman" w:cs="Times New Roman"/>
          <w:sz w:val="24"/>
          <w:szCs w:val="24"/>
        </w:rPr>
      </w:pPr>
    </w:p>
    <w:p w14:paraId="78D7B95B" w14:textId="1EBC2FD1" w:rsidR="00564EED" w:rsidRDefault="00564EED" w:rsidP="00B0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(fonte: </w:t>
      </w:r>
      <w:r w:rsidRPr="00564EED">
        <w:rPr>
          <w:rFonts w:ascii="Times New Roman" w:hAnsi="Times New Roman" w:cs="Times New Roman"/>
          <w:sz w:val="24"/>
          <w:szCs w:val="24"/>
        </w:rPr>
        <w:t>https://www.regione.campania.it/assets/documents/report-aree-interne-31-12-2019.pdf</w:t>
      </w:r>
      <w:r>
        <w:rPr>
          <w:rFonts w:ascii="Times New Roman" w:hAnsi="Times New Roman" w:cs="Times New Roman"/>
          <w:sz w:val="24"/>
          <w:szCs w:val="24"/>
        </w:rPr>
        <w:t>)</w:t>
      </w:r>
    </w:p>
    <w:sectPr w:rsidR="00564EED" w:rsidSect="00313E38">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7BA7"/>
    <w:multiLevelType w:val="hybridMultilevel"/>
    <w:tmpl w:val="756C236E"/>
    <w:lvl w:ilvl="0" w:tplc="2C9CD5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A1380C"/>
    <w:multiLevelType w:val="hybridMultilevel"/>
    <w:tmpl w:val="4BA8F224"/>
    <w:lvl w:ilvl="0" w:tplc="4EFA25FA">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2450419C"/>
    <w:multiLevelType w:val="hybridMultilevel"/>
    <w:tmpl w:val="6C3A8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3F"/>
    <w:rsid w:val="00004831"/>
    <w:rsid w:val="00017360"/>
    <w:rsid w:val="0007273B"/>
    <w:rsid w:val="00081A55"/>
    <w:rsid w:val="000A488F"/>
    <w:rsid w:val="000A628E"/>
    <w:rsid w:val="000B2670"/>
    <w:rsid w:val="000D32C8"/>
    <w:rsid w:val="000D4808"/>
    <w:rsid w:val="000E148D"/>
    <w:rsid w:val="000E6A98"/>
    <w:rsid w:val="00102B7E"/>
    <w:rsid w:val="0013188F"/>
    <w:rsid w:val="001630A1"/>
    <w:rsid w:val="00163C49"/>
    <w:rsid w:val="0018484D"/>
    <w:rsid w:val="001B2376"/>
    <w:rsid w:val="001B6234"/>
    <w:rsid w:val="0020253F"/>
    <w:rsid w:val="0029383E"/>
    <w:rsid w:val="002F59F1"/>
    <w:rsid w:val="002F670F"/>
    <w:rsid w:val="003028EA"/>
    <w:rsid w:val="00313E38"/>
    <w:rsid w:val="00355C3F"/>
    <w:rsid w:val="00365E85"/>
    <w:rsid w:val="003A01E0"/>
    <w:rsid w:val="003C4014"/>
    <w:rsid w:val="003F1D65"/>
    <w:rsid w:val="00434086"/>
    <w:rsid w:val="00485D41"/>
    <w:rsid w:val="00497699"/>
    <w:rsid w:val="004B3429"/>
    <w:rsid w:val="00501FFC"/>
    <w:rsid w:val="00532841"/>
    <w:rsid w:val="0055506B"/>
    <w:rsid w:val="00564EED"/>
    <w:rsid w:val="00571779"/>
    <w:rsid w:val="00572FF2"/>
    <w:rsid w:val="00637CC8"/>
    <w:rsid w:val="00681441"/>
    <w:rsid w:val="006A040E"/>
    <w:rsid w:val="006B73F6"/>
    <w:rsid w:val="006D6B21"/>
    <w:rsid w:val="006E6024"/>
    <w:rsid w:val="007115F5"/>
    <w:rsid w:val="00765CA4"/>
    <w:rsid w:val="0078117C"/>
    <w:rsid w:val="007829DD"/>
    <w:rsid w:val="007C01DB"/>
    <w:rsid w:val="007D4BB7"/>
    <w:rsid w:val="00851556"/>
    <w:rsid w:val="00857619"/>
    <w:rsid w:val="00861153"/>
    <w:rsid w:val="00887E7B"/>
    <w:rsid w:val="008A11E0"/>
    <w:rsid w:val="008A6D60"/>
    <w:rsid w:val="00933941"/>
    <w:rsid w:val="0094162A"/>
    <w:rsid w:val="00957D7F"/>
    <w:rsid w:val="009C486B"/>
    <w:rsid w:val="009D3634"/>
    <w:rsid w:val="009D6C8C"/>
    <w:rsid w:val="009E572E"/>
    <w:rsid w:val="009F3E4C"/>
    <w:rsid w:val="00A63119"/>
    <w:rsid w:val="00AC49F1"/>
    <w:rsid w:val="00B01A76"/>
    <w:rsid w:val="00B10A7E"/>
    <w:rsid w:val="00B568DE"/>
    <w:rsid w:val="00B57F3A"/>
    <w:rsid w:val="00BB77D8"/>
    <w:rsid w:val="00CB443A"/>
    <w:rsid w:val="00CC19ED"/>
    <w:rsid w:val="00D2504E"/>
    <w:rsid w:val="00D53DF4"/>
    <w:rsid w:val="00D80863"/>
    <w:rsid w:val="00D918FC"/>
    <w:rsid w:val="00DA4975"/>
    <w:rsid w:val="00DD263F"/>
    <w:rsid w:val="00E27C4D"/>
    <w:rsid w:val="00E3146B"/>
    <w:rsid w:val="00E52A96"/>
    <w:rsid w:val="00EA46CF"/>
    <w:rsid w:val="00EB02BA"/>
    <w:rsid w:val="00EB0DF2"/>
    <w:rsid w:val="00EC4CD8"/>
    <w:rsid w:val="00EE0288"/>
    <w:rsid w:val="00F21AAB"/>
    <w:rsid w:val="00F62B8F"/>
    <w:rsid w:val="00F6449B"/>
    <w:rsid w:val="00F87907"/>
    <w:rsid w:val="00FB4F90"/>
    <w:rsid w:val="00FC1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0CEF"/>
  <w15:chartTrackingRefBased/>
  <w15:docId w15:val="{7AD2C72F-CBB9-4842-B633-00CEB1C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07273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19ED"/>
    <w:pPr>
      <w:ind w:left="720"/>
      <w:contextualSpacing/>
    </w:pPr>
  </w:style>
  <w:style w:type="character" w:styleId="Collegamentoipertestuale">
    <w:name w:val="Hyperlink"/>
    <w:basedOn w:val="Carpredefinitoparagrafo"/>
    <w:uiPriority w:val="99"/>
    <w:unhideWhenUsed/>
    <w:rsid w:val="0018484D"/>
    <w:rPr>
      <w:color w:val="0563C1" w:themeColor="hyperlink"/>
      <w:u w:val="single"/>
    </w:rPr>
  </w:style>
  <w:style w:type="character" w:styleId="Menzionenonrisolta">
    <w:name w:val="Unresolved Mention"/>
    <w:basedOn w:val="Carpredefinitoparagrafo"/>
    <w:uiPriority w:val="99"/>
    <w:semiHidden/>
    <w:unhideWhenUsed/>
    <w:rsid w:val="0018484D"/>
    <w:rPr>
      <w:color w:val="605E5C"/>
      <w:shd w:val="clear" w:color="auto" w:fill="E1DFDD"/>
    </w:rPr>
  </w:style>
  <w:style w:type="character" w:customStyle="1" w:styleId="Titolo4Carattere">
    <w:name w:val="Titolo 4 Carattere"/>
    <w:basedOn w:val="Carpredefinitoparagrafo"/>
    <w:link w:val="Titolo4"/>
    <w:uiPriority w:val="9"/>
    <w:rsid w:val="0007273B"/>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07273B"/>
    <w:rPr>
      <w:b/>
      <w:bCs/>
    </w:rPr>
  </w:style>
  <w:style w:type="paragraph" w:styleId="NormaleWeb">
    <w:name w:val="Normal (Web)"/>
    <w:basedOn w:val="Normale"/>
    <w:uiPriority w:val="99"/>
    <w:semiHidden/>
    <w:unhideWhenUsed/>
    <w:rsid w:val="0007273B"/>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A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81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trategia_nazionale_per_le_aree_intern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agenziacoesione.gov.it/wp-content/uploads/2021/01/Strategia_nazionale_per_le_Aree_interne_definizione_obiettivi_strumenti_e_governance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genziacoesione.gov.it/wp-content/uploads/2021/01/Nota_metodologica_Aree_interne-2-1.pdf" TargetMode="External"/><Relationship Id="rId11" Type="http://schemas.openxmlformats.org/officeDocument/2006/relationships/hyperlink" Target="https://www.agenziacoesione.gov.it/news_istituzionali/aree-inter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ndazioneifel.it/documenti-e-pubblicazioni/item/download/303_49140d30b741b7114e36bf56e049fe8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ikipedia.org/wiki/Strategia_nazionale_per_le_aree_inter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F97D-143B-447C-9E4F-0B89F7E9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3092</Words>
  <Characters>17629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ms13363</dc:creator>
  <cp:keywords/>
  <dc:description/>
  <cp:lastModifiedBy>ms13363</cp:lastModifiedBy>
  <cp:revision>46</cp:revision>
  <dcterms:created xsi:type="dcterms:W3CDTF">2021-08-27T16:15:00Z</dcterms:created>
  <dcterms:modified xsi:type="dcterms:W3CDTF">2021-08-30T12:44:00Z</dcterms:modified>
</cp:coreProperties>
</file>