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82" w:rsidRDefault="00FB0382" w:rsidP="00FB0382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</w:p>
    <w:p w:rsidR="00FB0382" w:rsidRDefault="00FB0382" w:rsidP="00FB0382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it-IT"/>
        </w:rPr>
        <w:drawing>
          <wp:inline distT="0" distB="0" distL="0" distR="0">
            <wp:extent cx="3057525" cy="43243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382" w:rsidRDefault="00FB0382" w:rsidP="00FB0382">
      <w:pPr>
        <w:keepNext/>
        <w:keepLines/>
        <w:autoSpaceDE w:val="0"/>
        <w:autoSpaceDN w:val="0"/>
        <w:adjustRightInd w:val="0"/>
        <w:spacing w:after="320" w:line="276" w:lineRule="auto"/>
        <w:jc w:val="center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Osservatorio delle Povertà e delle Risorse</w:t>
      </w:r>
    </w:p>
    <w:p w:rsidR="00FB0382" w:rsidRDefault="00FB0382" w:rsidP="00FB0382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Report del mese di</w:t>
      </w:r>
    </w:p>
    <w:p w:rsidR="00FB0382" w:rsidRDefault="00A451A6" w:rsidP="00FB0382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DICE</w:t>
      </w:r>
      <w:r w:rsidR="00984DD4">
        <w:rPr>
          <w:rFonts w:ascii="Calibri" w:hAnsi="Calibri" w:cs="Calibri"/>
          <w:b/>
          <w:bCs/>
        </w:rPr>
        <w:t>MBRE</w:t>
      </w:r>
      <w:r w:rsidR="005E34EC">
        <w:rPr>
          <w:rFonts w:ascii="Calibri" w:hAnsi="Calibri" w:cs="Calibri"/>
          <w:b/>
          <w:bCs/>
        </w:rPr>
        <w:t xml:space="preserve"> </w:t>
      </w:r>
      <w:r w:rsidR="0006531D">
        <w:rPr>
          <w:rFonts w:ascii="Calibri" w:hAnsi="Calibri" w:cs="Calibri"/>
          <w:b/>
          <w:bCs/>
        </w:rPr>
        <w:t>2021</w:t>
      </w:r>
    </w:p>
    <w:p w:rsidR="00FB0382" w:rsidRDefault="00FB0382" w:rsidP="00FB0382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bCs/>
        </w:rPr>
      </w:pPr>
    </w:p>
    <w:p w:rsidR="00FB0382" w:rsidRDefault="00FB0382" w:rsidP="00FB0382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</w:p>
    <w:p w:rsidR="00FB0382" w:rsidRDefault="00FB0382" w:rsidP="00FB0382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</w:p>
    <w:p w:rsidR="00FB0382" w:rsidRDefault="00FB0382" w:rsidP="00FB0382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FB0382" w:rsidRPr="00B16518" w:rsidRDefault="00FB0382" w:rsidP="00FB0382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i/>
          <w:color w:val="000000"/>
        </w:rPr>
      </w:pPr>
      <w:bookmarkStart w:id="0" w:name="_GoBack"/>
      <w:r w:rsidRPr="00B16518">
        <w:rPr>
          <w:rFonts w:ascii="Calibri" w:hAnsi="Calibri" w:cs="Calibri"/>
          <w:b/>
          <w:bCs/>
          <w:i/>
          <w:color w:val="000000"/>
        </w:rPr>
        <w:lastRenderedPageBreak/>
        <w:t>Centro di Ascolto Diocesano</w:t>
      </w:r>
    </w:p>
    <w:bookmarkEnd w:id="0"/>
    <w:p w:rsidR="00FB0382" w:rsidRDefault="00FB0382" w:rsidP="00FB0382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</w:p>
    <w:p w:rsidR="00FB0382" w:rsidRDefault="00FB0382" w:rsidP="00FB0382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L’AFFLUENZA</w:t>
      </w:r>
    </w:p>
    <w:p w:rsidR="00746107" w:rsidRDefault="008647F0" w:rsidP="00407E21">
      <w:p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</w:t>
      </w:r>
      <w:r w:rsidR="00183BE3">
        <w:rPr>
          <w:rFonts w:ascii="Calibri" w:hAnsi="Calibri" w:cs="Calibri"/>
          <w:color w:val="000000"/>
        </w:rPr>
        <w:t xml:space="preserve"> numero di nuovi assistiti </w:t>
      </w:r>
      <w:r>
        <w:rPr>
          <w:rFonts w:ascii="Calibri" w:hAnsi="Calibri" w:cs="Calibri"/>
          <w:color w:val="000000"/>
        </w:rPr>
        <w:t xml:space="preserve">di </w:t>
      </w:r>
      <w:r w:rsidR="00A451A6">
        <w:rPr>
          <w:rFonts w:ascii="Calibri" w:hAnsi="Calibri" w:cs="Calibri"/>
          <w:color w:val="000000"/>
        </w:rPr>
        <w:t>dice</w:t>
      </w:r>
      <w:r w:rsidR="002E0BB4"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</w:rPr>
        <w:t xml:space="preserve">bre </w:t>
      </w:r>
      <w:r w:rsidR="006F6FB0">
        <w:rPr>
          <w:rFonts w:ascii="Calibri" w:hAnsi="Calibri" w:cs="Calibri"/>
          <w:color w:val="000000"/>
        </w:rPr>
        <w:t xml:space="preserve">è </w:t>
      </w:r>
      <w:r w:rsidR="00A451A6">
        <w:rPr>
          <w:rFonts w:ascii="Calibri" w:hAnsi="Calibri" w:cs="Calibri"/>
          <w:color w:val="000000"/>
        </w:rPr>
        <w:t>in calo sul mese precedente</w:t>
      </w:r>
      <w:r w:rsidR="006A63B0">
        <w:rPr>
          <w:rFonts w:ascii="Calibri" w:hAnsi="Calibri" w:cs="Calibri"/>
          <w:color w:val="000000"/>
        </w:rPr>
        <w:t>:</w:t>
      </w:r>
      <w:r w:rsidR="002E0BB4">
        <w:rPr>
          <w:rFonts w:ascii="Calibri" w:hAnsi="Calibri" w:cs="Calibri"/>
          <w:color w:val="000000"/>
        </w:rPr>
        <w:t xml:space="preserve"> in </w:t>
      </w:r>
      <w:r>
        <w:rPr>
          <w:rFonts w:ascii="Calibri" w:hAnsi="Calibri" w:cs="Calibri"/>
          <w:color w:val="000000"/>
        </w:rPr>
        <w:t xml:space="preserve">totale </w:t>
      </w:r>
      <w:r w:rsidR="006A63B0">
        <w:rPr>
          <w:rFonts w:ascii="Calibri" w:hAnsi="Calibri" w:cs="Calibri"/>
          <w:color w:val="000000"/>
        </w:rPr>
        <w:t xml:space="preserve">sono </w:t>
      </w:r>
      <w:r w:rsidR="00A451A6">
        <w:rPr>
          <w:rFonts w:ascii="Calibri" w:hAnsi="Calibri" w:cs="Calibri"/>
          <w:b/>
          <w:color w:val="000000"/>
        </w:rPr>
        <w:t>8</w:t>
      </w:r>
      <w:r w:rsidRPr="008647F0">
        <w:rPr>
          <w:rFonts w:ascii="Calibri" w:hAnsi="Calibri" w:cs="Calibri"/>
          <w:b/>
          <w:color w:val="000000"/>
        </w:rPr>
        <w:t xml:space="preserve"> </w:t>
      </w:r>
      <w:r w:rsidR="002E0BB4" w:rsidRPr="002E0BB4">
        <w:rPr>
          <w:rFonts w:ascii="Calibri" w:hAnsi="Calibri" w:cs="Calibri"/>
          <w:color w:val="000000"/>
        </w:rPr>
        <w:t>le</w:t>
      </w:r>
      <w:r w:rsidR="002E0BB4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color w:val="000000"/>
        </w:rPr>
        <w:t>persone</w:t>
      </w:r>
      <w:r w:rsidR="002E0BB4">
        <w:rPr>
          <w:rFonts w:ascii="Calibri" w:hAnsi="Calibri" w:cs="Calibri"/>
          <w:color w:val="000000"/>
        </w:rPr>
        <w:t xml:space="preserve"> </w:t>
      </w:r>
      <w:r w:rsidR="006F6FB0">
        <w:rPr>
          <w:rFonts w:ascii="Calibri" w:hAnsi="Calibri" w:cs="Calibri"/>
          <w:color w:val="000000"/>
        </w:rPr>
        <w:t>afferite per la prima volta ai</w:t>
      </w:r>
      <w:r w:rsidR="002E0BB4">
        <w:rPr>
          <w:rFonts w:ascii="Calibri" w:hAnsi="Calibri" w:cs="Calibri"/>
          <w:color w:val="000000"/>
        </w:rPr>
        <w:t xml:space="preserve"> vari sportelli</w:t>
      </w:r>
      <w:r w:rsidR="00B04E8D">
        <w:rPr>
          <w:rFonts w:ascii="Calibri" w:hAnsi="Calibri" w:cs="Calibri"/>
          <w:color w:val="000000"/>
        </w:rPr>
        <w:t xml:space="preserve"> di ascolto</w:t>
      </w:r>
      <w:r w:rsidR="00746107">
        <w:rPr>
          <w:rFonts w:ascii="Calibri" w:hAnsi="Calibri" w:cs="Calibri"/>
          <w:color w:val="000000"/>
        </w:rPr>
        <w:t>.</w:t>
      </w:r>
    </w:p>
    <w:tbl>
      <w:tblPr>
        <w:tblW w:w="54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  <w:gridCol w:w="1500"/>
        <w:gridCol w:w="1400"/>
      </w:tblGrid>
      <w:tr w:rsidR="00A451A6" w:rsidRPr="00A451A6" w:rsidTr="00A451A6">
        <w:trPr>
          <w:trHeight w:val="435"/>
          <w:jc w:val="center"/>
        </w:trPr>
        <w:tc>
          <w:tcPr>
            <w:tcW w:w="112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DDDDDD"/>
            <w:vAlign w:val="center"/>
            <w:hideMark/>
          </w:tcPr>
          <w:p w:rsidR="00A451A6" w:rsidRPr="00A451A6" w:rsidRDefault="00A451A6" w:rsidP="00A451A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222222"/>
                <w:sz w:val="16"/>
                <w:szCs w:val="16"/>
                <w:lang w:eastAsia="it-IT"/>
              </w:rPr>
            </w:pPr>
            <w:r w:rsidRPr="00A451A6">
              <w:rPr>
                <w:rFonts w:ascii="Verdana" w:eastAsia="Times New Roman" w:hAnsi="Verdana" w:cs="Calibri"/>
                <w:b/>
                <w:bCs/>
                <w:color w:val="222222"/>
                <w:sz w:val="16"/>
                <w:szCs w:val="16"/>
                <w:lang w:eastAsia="it-IT"/>
              </w:rPr>
              <w:t> Sesso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DDDDDD"/>
            <w:vAlign w:val="center"/>
            <w:hideMark/>
          </w:tcPr>
          <w:p w:rsidR="00A451A6" w:rsidRPr="00A451A6" w:rsidRDefault="00A451A6" w:rsidP="00A451A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222222"/>
                <w:sz w:val="16"/>
                <w:szCs w:val="16"/>
                <w:lang w:eastAsia="it-IT"/>
              </w:rPr>
            </w:pPr>
            <w:r w:rsidRPr="00A451A6">
              <w:rPr>
                <w:rFonts w:ascii="Verdana" w:eastAsia="Times New Roman" w:hAnsi="Verdana" w:cs="Calibri"/>
                <w:b/>
                <w:bCs/>
                <w:color w:val="222222"/>
                <w:sz w:val="16"/>
                <w:szCs w:val="16"/>
                <w:lang w:eastAsia="it-IT"/>
              </w:rPr>
              <w:t> Cittadinanza Italiana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DDDDDD"/>
            <w:vAlign w:val="center"/>
            <w:hideMark/>
          </w:tcPr>
          <w:p w:rsidR="00A451A6" w:rsidRPr="00A451A6" w:rsidRDefault="00A451A6" w:rsidP="00A451A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222222"/>
                <w:sz w:val="16"/>
                <w:szCs w:val="16"/>
                <w:lang w:eastAsia="it-IT"/>
              </w:rPr>
            </w:pPr>
            <w:r w:rsidRPr="00A451A6">
              <w:rPr>
                <w:rFonts w:ascii="Verdana" w:eastAsia="Times New Roman" w:hAnsi="Verdana" w:cs="Calibri"/>
                <w:b/>
                <w:bCs/>
                <w:color w:val="222222"/>
                <w:sz w:val="16"/>
                <w:szCs w:val="16"/>
                <w:lang w:eastAsia="it-IT"/>
              </w:rPr>
              <w:t> Cittadinanza Non Italiana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DDDDDD"/>
            <w:vAlign w:val="center"/>
            <w:hideMark/>
          </w:tcPr>
          <w:p w:rsidR="00A451A6" w:rsidRPr="00A451A6" w:rsidRDefault="00A451A6" w:rsidP="00A451A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222222"/>
                <w:sz w:val="16"/>
                <w:szCs w:val="16"/>
                <w:lang w:eastAsia="it-IT"/>
              </w:rPr>
            </w:pPr>
            <w:r w:rsidRPr="00A451A6">
              <w:rPr>
                <w:rFonts w:ascii="Verdana" w:eastAsia="Times New Roman" w:hAnsi="Verdana" w:cs="Calibri"/>
                <w:b/>
                <w:bCs/>
                <w:color w:val="222222"/>
                <w:sz w:val="16"/>
                <w:szCs w:val="16"/>
                <w:lang w:eastAsia="it-IT"/>
              </w:rPr>
              <w:t> Totale</w:t>
            </w:r>
          </w:p>
        </w:tc>
      </w:tr>
      <w:tr w:rsidR="00A451A6" w:rsidRPr="00A451A6" w:rsidTr="00A451A6">
        <w:trPr>
          <w:trHeight w:val="315"/>
          <w:jc w:val="center"/>
        </w:trPr>
        <w:tc>
          <w:tcPr>
            <w:tcW w:w="112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auto"/>
            <w:hideMark/>
          </w:tcPr>
          <w:p w:rsidR="00A451A6" w:rsidRPr="00A451A6" w:rsidRDefault="00A451A6" w:rsidP="00A451A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222222"/>
                <w:sz w:val="16"/>
                <w:szCs w:val="16"/>
                <w:lang w:eastAsia="it-IT"/>
              </w:rPr>
            </w:pPr>
            <w:r w:rsidRPr="00A451A6">
              <w:rPr>
                <w:rFonts w:ascii="Verdana" w:eastAsia="Times New Roman" w:hAnsi="Verdana" w:cs="Calibri"/>
                <w:b/>
                <w:bCs/>
                <w:color w:val="222222"/>
                <w:sz w:val="16"/>
                <w:szCs w:val="16"/>
                <w:lang w:eastAsia="it-IT"/>
              </w:rPr>
              <w:t>Femminile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auto"/>
            <w:vAlign w:val="center"/>
            <w:hideMark/>
          </w:tcPr>
          <w:p w:rsidR="00A451A6" w:rsidRPr="00A451A6" w:rsidRDefault="00A451A6" w:rsidP="00A451A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</w:pPr>
            <w:r w:rsidRPr="00A451A6"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auto"/>
            <w:vAlign w:val="center"/>
            <w:hideMark/>
          </w:tcPr>
          <w:p w:rsidR="00A451A6" w:rsidRPr="00A451A6" w:rsidRDefault="00A451A6" w:rsidP="00A451A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</w:pPr>
            <w:r w:rsidRPr="00A451A6"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auto"/>
            <w:vAlign w:val="center"/>
            <w:hideMark/>
          </w:tcPr>
          <w:p w:rsidR="00A451A6" w:rsidRPr="00A451A6" w:rsidRDefault="00A451A6" w:rsidP="00A451A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</w:pPr>
            <w:r w:rsidRPr="00A451A6"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  <w:t>3</w:t>
            </w:r>
          </w:p>
        </w:tc>
      </w:tr>
      <w:tr w:rsidR="00A451A6" w:rsidRPr="00A451A6" w:rsidTr="00A451A6">
        <w:trPr>
          <w:trHeight w:val="315"/>
          <w:jc w:val="center"/>
        </w:trPr>
        <w:tc>
          <w:tcPr>
            <w:tcW w:w="112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auto"/>
            <w:hideMark/>
          </w:tcPr>
          <w:p w:rsidR="00A451A6" w:rsidRPr="00A451A6" w:rsidRDefault="00A451A6" w:rsidP="00A451A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222222"/>
                <w:sz w:val="16"/>
                <w:szCs w:val="16"/>
                <w:lang w:eastAsia="it-IT"/>
              </w:rPr>
            </w:pPr>
            <w:r w:rsidRPr="00A451A6">
              <w:rPr>
                <w:rFonts w:ascii="Verdana" w:eastAsia="Times New Roman" w:hAnsi="Verdana" w:cs="Calibri"/>
                <w:b/>
                <w:bCs/>
                <w:color w:val="222222"/>
                <w:sz w:val="16"/>
                <w:szCs w:val="16"/>
                <w:lang w:eastAsia="it-IT"/>
              </w:rPr>
              <w:t>Maschile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auto"/>
            <w:vAlign w:val="center"/>
            <w:hideMark/>
          </w:tcPr>
          <w:p w:rsidR="00A451A6" w:rsidRPr="00A451A6" w:rsidRDefault="00A451A6" w:rsidP="00A451A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</w:pPr>
            <w:r w:rsidRPr="00A451A6"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auto"/>
            <w:vAlign w:val="center"/>
            <w:hideMark/>
          </w:tcPr>
          <w:p w:rsidR="00A451A6" w:rsidRPr="00A451A6" w:rsidRDefault="00A451A6" w:rsidP="00A451A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</w:pPr>
            <w:r w:rsidRPr="00A451A6"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auto"/>
            <w:vAlign w:val="center"/>
            <w:hideMark/>
          </w:tcPr>
          <w:p w:rsidR="00A451A6" w:rsidRPr="00A451A6" w:rsidRDefault="00A451A6" w:rsidP="00A451A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</w:pPr>
            <w:r w:rsidRPr="00A451A6"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  <w:t>5</w:t>
            </w:r>
          </w:p>
        </w:tc>
      </w:tr>
      <w:tr w:rsidR="00A451A6" w:rsidRPr="00A451A6" w:rsidTr="00A451A6">
        <w:trPr>
          <w:trHeight w:val="315"/>
          <w:jc w:val="center"/>
        </w:trPr>
        <w:tc>
          <w:tcPr>
            <w:tcW w:w="112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DDDDDD"/>
            <w:hideMark/>
          </w:tcPr>
          <w:p w:rsidR="00A451A6" w:rsidRPr="00A451A6" w:rsidRDefault="00A451A6" w:rsidP="00A451A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222222"/>
                <w:sz w:val="16"/>
                <w:szCs w:val="16"/>
                <w:lang w:eastAsia="it-IT"/>
              </w:rPr>
            </w:pPr>
            <w:r w:rsidRPr="00A451A6">
              <w:rPr>
                <w:rFonts w:ascii="Verdana" w:eastAsia="Times New Roman" w:hAnsi="Verdana" w:cs="Calibri"/>
                <w:b/>
                <w:bCs/>
                <w:color w:val="222222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DDDDDD"/>
            <w:vAlign w:val="center"/>
            <w:hideMark/>
          </w:tcPr>
          <w:p w:rsidR="00A451A6" w:rsidRPr="00A451A6" w:rsidRDefault="00A451A6" w:rsidP="00A451A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</w:pPr>
            <w:r w:rsidRPr="00A451A6"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DDDDDD"/>
            <w:vAlign w:val="center"/>
            <w:hideMark/>
          </w:tcPr>
          <w:p w:rsidR="00A451A6" w:rsidRPr="00A451A6" w:rsidRDefault="00A451A6" w:rsidP="00A451A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</w:pPr>
            <w:r w:rsidRPr="00A451A6"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DDDDDD"/>
            <w:vAlign w:val="center"/>
            <w:hideMark/>
          </w:tcPr>
          <w:p w:rsidR="00A451A6" w:rsidRPr="00A451A6" w:rsidRDefault="00A451A6" w:rsidP="00A451A6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222222"/>
                <w:sz w:val="16"/>
                <w:szCs w:val="16"/>
                <w:lang w:eastAsia="it-IT"/>
              </w:rPr>
            </w:pPr>
            <w:r w:rsidRPr="00A451A6">
              <w:rPr>
                <w:rFonts w:ascii="Verdana" w:eastAsia="Times New Roman" w:hAnsi="Verdana" w:cs="Calibri"/>
                <w:b/>
                <w:color w:val="222222"/>
                <w:sz w:val="16"/>
                <w:szCs w:val="16"/>
                <w:lang w:eastAsia="it-IT"/>
              </w:rPr>
              <w:t>8</w:t>
            </w:r>
          </w:p>
        </w:tc>
      </w:tr>
    </w:tbl>
    <w:p w:rsidR="009376EA" w:rsidRDefault="009376EA" w:rsidP="00191FDF">
      <w:p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color w:val="000000"/>
        </w:rPr>
      </w:pPr>
    </w:p>
    <w:p w:rsidR="00FB0382" w:rsidRDefault="002400F4" w:rsidP="00DF09C2">
      <w:p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Tuttavia</w:t>
      </w:r>
      <w:r w:rsidR="00C25BE0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il totale dell’</w:t>
      </w:r>
      <w:r w:rsidR="00935481">
        <w:rPr>
          <w:rFonts w:ascii="Calibri" w:hAnsi="Calibri" w:cs="Calibri"/>
          <w:color w:val="000000"/>
        </w:rPr>
        <w:t xml:space="preserve">affluenza del mese è aumentata di 18 unità rispetto allo scorso novembre, raggiungendo un totale di 255 assistiti. </w:t>
      </w:r>
      <w:r w:rsidR="009A63B3">
        <w:rPr>
          <w:rFonts w:ascii="Calibri" w:hAnsi="Calibri" w:cs="Calibri"/>
          <w:color w:val="000000"/>
        </w:rPr>
        <w:t>Come di consueto gli assistiti di cittadinanza italiana superano di quasi il doppio la componente straniera</w:t>
      </w:r>
      <w:r w:rsidR="006F6FB0">
        <w:rPr>
          <w:rFonts w:ascii="Calibri" w:hAnsi="Calibri" w:cs="Calibri"/>
          <w:color w:val="000000"/>
        </w:rPr>
        <w:t xml:space="preserve"> (6</w:t>
      </w:r>
      <w:r w:rsidR="002F3C3D">
        <w:rPr>
          <w:rFonts w:ascii="Calibri" w:hAnsi="Calibri" w:cs="Calibri"/>
          <w:color w:val="000000"/>
        </w:rPr>
        <w:t>3,9</w:t>
      </w:r>
      <w:r w:rsidR="006F6FB0">
        <w:rPr>
          <w:rFonts w:ascii="Calibri" w:hAnsi="Calibri" w:cs="Calibri"/>
          <w:color w:val="000000"/>
        </w:rPr>
        <w:t>% vs 3</w:t>
      </w:r>
      <w:r w:rsidR="002F3C3D">
        <w:rPr>
          <w:rFonts w:ascii="Calibri" w:hAnsi="Calibri" w:cs="Calibri"/>
          <w:color w:val="000000"/>
        </w:rPr>
        <w:t>5</w:t>
      </w:r>
      <w:r w:rsidR="006F6FB0">
        <w:rPr>
          <w:rFonts w:ascii="Calibri" w:hAnsi="Calibri" w:cs="Calibri"/>
          <w:color w:val="000000"/>
        </w:rPr>
        <w:t>,</w:t>
      </w:r>
      <w:r w:rsidR="002F3C3D">
        <w:rPr>
          <w:rFonts w:ascii="Calibri" w:hAnsi="Calibri" w:cs="Calibri"/>
          <w:color w:val="000000"/>
        </w:rPr>
        <w:t>3</w:t>
      </w:r>
      <w:r w:rsidR="006F6FB0">
        <w:rPr>
          <w:rFonts w:ascii="Calibri" w:hAnsi="Calibri" w:cs="Calibri"/>
          <w:color w:val="000000"/>
        </w:rPr>
        <w:t>%)</w:t>
      </w:r>
      <w:r w:rsidR="009A63B3">
        <w:rPr>
          <w:rFonts w:ascii="Calibri" w:hAnsi="Calibri" w:cs="Calibri"/>
          <w:color w:val="000000"/>
        </w:rPr>
        <w:t>.</w:t>
      </w:r>
    </w:p>
    <w:tbl>
      <w:tblPr>
        <w:tblW w:w="73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  <w:gridCol w:w="1500"/>
        <w:gridCol w:w="1400"/>
        <w:gridCol w:w="960"/>
        <w:gridCol w:w="960"/>
      </w:tblGrid>
      <w:tr w:rsidR="00935481" w:rsidRPr="00935481" w:rsidTr="00935481">
        <w:trPr>
          <w:trHeight w:val="43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EEEEEE"/>
              <w:right w:val="nil"/>
            </w:tcBorders>
            <w:shd w:val="clear" w:color="000000" w:fill="DDDDDD"/>
            <w:vAlign w:val="center"/>
            <w:hideMark/>
          </w:tcPr>
          <w:p w:rsidR="00935481" w:rsidRPr="00935481" w:rsidRDefault="00935481" w:rsidP="009354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222222"/>
                <w:sz w:val="16"/>
                <w:szCs w:val="16"/>
                <w:lang w:eastAsia="it-IT"/>
              </w:rPr>
            </w:pPr>
            <w:r w:rsidRPr="00935481">
              <w:rPr>
                <w:rFonts w:ascii="Verdana" w:eastAsia="Times New Roman" w:hAnsi="Verdana" w:cs="Calibri"/>
                <w:b/>
                <w:bCs/>
                <w:color w:val="222222"/>
                <w:sz w:val="16"/>
                <w:szCs w:val="16"/>
                <w:lang w:eastAsia="it-IT"/>
              </w:rPr>
              <w:t> Sesso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EEEEEE"/>
              <w:right w:val="nil"/>
            </w:tcBorders>
            <w:shd w:val="clear" w:color="000000" w:fill="DDDDDD"/>
            <w:vAlign w:val="center"/>
            <w:hideMark/>
          </w:tcPr>
          <w:p w:rsidR="00935481" w:rsidRPr="00935481" w:rsidRDefault="00935481" w:rsidP="009354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222222"/>
                <w:sz w:val="16"/>
                <w:szCs w:val="16"/>
                <w:lang w:eastAsia="it-IT"/>
              </w:rPr>
            </w:pPr>
            <w:r w:rsidRPr="00935481">
              <w:rPr>
                <w:rFonts w:ascii="Verdana" w:eastAsia="Times New Roman" w:hAnsi="Verdana" w:cs="Calibri"/>
                <w:b/>
                <w:bCs/>
                <w:color w:val="222222"/>
                <w:sz w:val="16"/>
                <w:szCs w:val="16"/>
                <w:lang w:eastAsia="it-IT"/>
              </w:rPr>
              <w:t> Cittadinanza Italiana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EEEEEE"/>
              <w:right w:val="nil"/>
            </w:tcBorders>
            <w:shd w:val="clear" w:color="000000" w:fill="DDDDDD"/>
            <w:vAlign w:val="center"/>
            <w:hideMark/>
          </w:tcPr>
          <w:p w:rsidR="00935481" w:rsidRPr="00935481" w:rsidRDefault="00935481" w:rsidP="009354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222222"/>
                <w:sz w:val="16"/>
                <w:szCs w:val="16"/>
                <w:lang w:eastAsia="it-IT"/>
              </w:rPr>
            </w:pPr>
            <w:r w:rsidRPr="00935481">
              <w:rPr>
                <w:rFonts w:ascii="Verdana" w:eastAsia="Times New Roman" w:hAnsi="Verdana" w:cs="Calibri"/>
                <w:b/>
                <w:bCs/>
                <w:color w:val="222222"/>
                <w:sz w:val="16"/>
                <w:szCs w:val="16"/>
                <w:lang w:eastAsia="it-IT"/>
              </w:rPr>
              <w:t> Cittadinanza Non Italiana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EEEEEE"/>
              <w:right w:val="nil"/>
            </w:tcBorders>
            <w:shd w:val="clear" w:color="000000" w:fill="DDDDDD"/>
            <w:vAlign w:val="center"/>
            <w:hideMark/>
          </w:tcPr>
          <w:p w:rsidR="00935481" w:rsidRPr="00935481" w:rsidRDefault="00935481" w:rsidP="009354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222222"/>
                <w:sz w:val="16"/>
                <w:szCs w:val="16"/>
                <w:lang w:eastAsia="it-IT"/>
              </w:rPr>
            </w:pPr>
            <w:r w:rsidRPr="00935481">
              <w:rPr>
                <w:rFonts w:ascii="Verdana" w:eastAsia="Times New Roman" w:hAnsi="Verdana" w:cs="Calibri"/>
                <w:b/>
                <w:bCs/>
                <w:color w:val="222222"/>
                <w:sz w:val="16"/>
                <w:szCs w:val="16"/>
                <w:lang w:eastAsia="it-IT"/>
              </w:rPr>
              <w:t> Doppia cittadinanza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EEEEEE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935481" w:rsidRPr="00935481" w:rsidRDefault="00935481" w:rsidP="009354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222222"/>
                <w:sz w:val="16"/>
                <w:szCs w:val="16"/>
                <w:lang w:eastAsia="it-IT"/>
              </w:rPr>
            </w:pPr>
            <w:r w:rsidRPr="00935481">
              <w:rPr>
                <w:rFonts w:ascii="Verdana" w:eastAsia="Times New Roman" w:hAnsi="Verdana" w:cs="Calibri"/>
                <w:b/>
                <w:bCs/>
                <w:color w:val="222222"/>
                <w:sz w:val="16"/>
                <w:szCs w:val="16"/>
                <w:lang w:eastAsia="it-IT"/>
              </w:rPr>
              <w:t> Totale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2F2F2"/>
            <w:vAlign w:val="center"/>
            <w:hideMark/>
          </w:tcPr>
          <w:p w:rsidR="00935481" w:rsidRPr="00935481" w:rsidRDefault="00935481" w:rsidP="009354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222222"/>
                <w:sz w:val="16"/>
                <w:szCs w:val="16"/>
                <w:lang w:eastAsia="it-IT"/>
              </w:rPr>
            </w:pPr>
            <w:r w:rsidRPr="00935481">
              <w:rPr>
                <w:rFonts w:ascii="Verdana" w:eastAsia="Times New Roman" w:hAnsi="Verdana" w:cs="Calibri"/>
                <w:b/>
                <w:bCs/>
                <w:color w:val="222222"/>
                <w:sz w:val="16"/>
                <w:szCs w:val="16"/>
                <w:lang w:eastAsia="it-IT"/>
              </w:rPr>
              <w:t> Totale%</w:t>
            </w:r>
          </w:p>
        </w:tc>
      </w:tr>
      <w:tr w:rsidR="00935481" w:rsidRPr="00935481" w:rsidTr="00935481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EEEEEE"/>
              <w:right w:val="nil"/>
            </w:tcBorders>
            <w:shd w:val="clear" w:color="auto" w:fill="auto"/>
            <w:vAlign w:val="center"/>
            <w:hideMark/>
          </w:tcPr>
          <w:p w:rsidR="00935481" w:rsidRPr="00935481" w:rsidRDefault="00935481" w:rsidP="0093548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222222"/>
                <w:sz w:val="16"/>
                <w:szCs w:val="16"/>
                <w:lang w:eastAsia="it-IT"/>
              </w:rPr>
            </w:pPr>
            <w:r w:rsidRPr="00935481">
              <w:rPr>
                <w:rFonts w:ascii="Verdana" w:eastAsia="Times New Roman" w:hAnsi="Verdana" w:cs="Calibri"/>
                <w:b/>
                <w:bCs/>
                <w:color w:val="222222"/>
                <w:sz w:val="16"/>
                <w:szCs w:val="16"/>
                <w:lang w:eastAsia="it-IT"/>
              </w:rPr>
              <w:t>Femminile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auto"/>
            <w:vAlign w:val="center"/>
            <w:hideMark/>
          </w:tcPr>
          <w:p w:rsidR="00935481" w:rsidRPr="00935481" w:rsidRDefault="00935481" w:rsidP="0093548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</w:pPr>
            <w:r w:rsidRPr="00935481"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  <w:t>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auto"/>
            <w:vAlign w:val="center"/>
            <w:hideMark/>
          </w:tcPr>
          <w:p w:rsidR="00935481" w:rsidRPr="00935481" w:rsidRDefault="00935481" w:rsidP="0093548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</w:pPr>
            <w:r w:rsidRPr="00935481"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  <w:t>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auto"/>
            <w:vAlign w:val="center"/>
            <w:hideMark/>
          </w:tcPr>
          <w:p w:rsidR="00935481" w:rsidRPr="00935481" w:rsidRDefault="00935481" w:rsidP="0093548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</w:pPr>
            <w:r w:rsidRPr="00935481"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EEEEEE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81" w:rsidRPr="00935481" w:rsidRDefault="00935481" w:rsidP="0093548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</w:pPr>
            <w:r w:rsidRPr="00935481"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5481" w:rsidRPr="00935481" w:rsidRDefault="00935481" w:rsidP="00935481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808080"/>
                <w:sz w:val="16"/>
                <w:szCs w:val="16"/>
                <w:lang w:eastAsia="it-IT"/>
              </w:rPr>
            </w:pPr>
            <w:r w:rsidRPr="00935481">
              <w:rPr>
                <w:rFonts w:ascii="Verdana" w:eastAsia="Times New Roman" w:hAnsi="Verdana" w:cs="Calibri"/>
                <w:i/>
                <w:iCs/>
                <w:color w:val="808080"/>
                <w:sz w:val="16"/>
                <w:szCs w:val="16"/>
                <w:lang w:eastAsia="it-IT"/>
              </w:rPr>
              <w:t>56,5</w:t>
            </w:r>
          </w:p>
        </w:tc>
      </w:tr>
      <w:tr w:rsidR="00935481" w:rsidRPr="00935481" w:rsidTr="00935481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EEEEEE"/>
              <w:right w:val="nil"/>
            </w:tcBorders>
            <w:shd w:val="clear" w:color="auto" w:fill="auto"/>
            <w:vAlign w:val="center"/>
            <w:hideMark/>
          </w:tcPr>
          <w:p w:rsidR="00935481" w:rsidRPr="00935481" w:rsidRDefault="00935481" w:rsidP="0093548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222222"/>
                <w:sz w:val="16"/>
                <w:szCs w:val="16"/>
                <w:lang w:eastAsia="it-IT"/>
              </w:rPr>
            </w:pPr>
            <w:r w:rsidRPr="00935481">
              <w:rPr>
                <w:rFonts w:ascii="Verdana" w:eastAsia="Times New Roman" w:hAnsi="Verdana" w:cs="Calibri"/>
                <w:b/>
                <w:bCs/>
                <w:color w:val="222222"/>
                <w:sz w:val="16"/>
                <w:szCs w:val="16"/>
                <w:lang w:eastAsia="it-IT"/>
              </w:rPr>
              <w:t>Maschile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auto"/>
            <w:vAlign w:val="center"/>
            <w:hideMark/>
          </w:tcPr>
          <w:p w:rsidR="00935481" w:rsidRPr="00935481" w:rsidRDefault="00935481" w:rsidP="0093548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</w:pPr>
            <w:r w:rsidRPr="00935481"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auto"/>
            <w:vAlign w:val="center"/>
            <w:hideMark/>
          </w:tcPr>
          <w:p w:rsidR="00935481" w:rsidRPr="00935481" w:rsidRDefault="00935481" w:rsidP="0093548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</w:pPr>
            <w:r w:rsidRPr="00935481"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auto"/>
            <w:vAlign w:val="center"/>
            <w:hideMark/>
          </w:tcPr>
          <w:p w:rsidR="00935481" w:rsidRPr="00935481" w:rsidRDefault="00935481" w:rsidP="0093548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</w:pPr>
            <w:r w:rsidRPr="00935481"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EEEEEE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81" w:rsidRPr="00935481" w:rsidRDefault="00935481" w:rsidP="0093548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</w:pPr>
            <w:r w:rsidRPr="00935481"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5481" w:rsidRPr="00935481" w:rsidRDefault="00935481" w:rsidP="00935481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808080"/>
                <w:sz w:val="16"/>
                <w:szCs w:val="16"/>
                <w:lang w:eastAsia="it-IT"/>
              </w:rPr>
            </w:pPr>
            <w:r w:rsidRPr="00935481">
              <w:rPr>
                <w:rFonts w:ascii="Verdana" w:eastAsia="Times New Roman" w:hAnsi="Verdana" w:cs="Calibri"/>
                <w:i/>
                <w:iCs/>
                <w:color w:val="808080"/>
                <w:sz w:val="16"/>
                <w:szCs w:val="16"/>
                <w:lang w:eastAsia="it-IT"/>
              </w:rPr>
              <w:t>43,5</w:t>
            </w:r>
          </w:p>
        </w:tc>
      </w:tr>
      <w:tr w:rsidR="00935481" w:rsidRPr="00935481" w:rsidTr="00935481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DDD"/>
            <w:vAlign w:val="center"/>
            <w:hideMark/>
          </w:tcPr>
          <w:p w:rsidR="00935481" w:rsidRPr="00935481" w:rsidRDefault="00935481" w:rsidP="0093548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222222"/>
                <w:sz w:val="16"/>
                <w:szCs w:val="16"/>
                <w:lang w:eastAsia="it-IT"/>
              </w:rPr>
            </w:pPr>
            <w:r w:rsidRPr="00935481">
              <w:rPr>
                <w:rFonts w:ascii="Verdana" w:eastAsia="Times New Roman" w:hAnsi="Verdana" w:cs="Calibri"/>
                <w:b/>
                <w:bCs/>
                <w:color w:val="222222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DDD"/>
            <w:vAlign w:val="center"/>
            <w:hideMark/>
          </w:tcPr>
          <w:p w:rsidR="00935481" w:rsidRPr="00935481" w:rsidRDefault="00935481" w:rsidP="0093548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</w:pPr>
            <w:r w:rsidRPr="00935481"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  <w:t>163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DDD"/>
            <w:vAlign w:val="center"/>
            <w:hideMark/>
          </w:tcPr>
          <w:p w:rsidR="00935481" w:rsidRPr="00935481" w:rsidRDefault="00935481" w:rsidP="0093548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</w:pPr>
            <w:r w:rsidRPr="00935481"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  <w:t>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DDD"/>
            <w:vAlign w:val="center"/>
            <w:hideMark/>
          </w:tcPr>
          <w:p w:rsidR="00935481" w:rsidRPr="00935481" w:rsidRDefault="00935481" w:rsidP="0093548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</w:pPr>
            <w:r w:rsidRPr="00935481"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935481" w:rsidRPr="00935481" w:rsidRDefault="00935481" w:rsidP="0093548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</w:pPr>
            <w:r w:rsidRPr="00935481"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5481" w:rsidRPr="00935481" w:rsidRDefault="00935481" w:rsidP="00935481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808080"/>
                <w:sz w:val="16"/>
                <w:szCs w:val="16"/>
                <w:lang w:eastAsia="it-IT"/>
              </w:rPr>
            </w:pPr>
            <w:r w:rsidRPr="00935481">
              <w:rPr>
                <w:rFonts w:ascii="Verdana" w:eastAsia="Times New Roman" w:hAnsi="Verdana" w:cs="Calibri"/>
                <w:i/>
                <w:iCs/>
                <w:color w:val="808080"/>
                <w:sz w:val="16"/>
                <w:szCs w:val="16"/>
                <w:lang w:eastAsia="it-IT"/>
              </w:rPr>
              <w:t> </w:t>
            </w:r>
          </w:p>
        </w:tc>
      </w:tr>
      <w:tr w:rsidR="00935481" w:rsidRPr="00935481" w:rsidTr="00935481">
        <w:trPr>
          <w:trHeight w:val="315"/>
          <w:jc w:val="center"/>
        </w:trPr>
        <w:tc>
          <w:tcPr>
            <w:tcW w:w="112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2F2F2"/>
            <w:vAlign w:val="center"/>
            <w:hideMark/>
          </w:tcPr>
          <w:p w:rsidR="00935481" w:rsidRPr="00935481" w:rsidRDefault="00935481" w:rsidP="0093548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i/>
                <w:iCs/>
                <w:color w:val="808080"/>
                <w:sz w:val="16"/>
                <w:szCs w:val="16"/>
                <w:lang w:eastAsia="it-IT"/>
              </w:rPr>
            </w:pPr>
            <w:r w:rsidRPr="00935481">
              <w:rPr>
                <w:rFonts w:ascii="Verdana" w:eastAsia="Times New Roman" w:hAnsi="Verdana" w:cs="Calibri"/>
                <w:b/>
                <w:bCs/>
                <w:i/>
                <w:iCs/>
                <w:color w:val="808080"/>
                <w:sz w:val="16"/>
                <w:szCs w:val="16"/>
                <w:lang w:eastAsia="it-IT"/>
              </w:rPr>
              <w:t>Totale%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5481" w:rsidRPr="00935481" w:rsidRDefault="00935481" w:rsidP="00935481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808080"/>
                <w:sz w:val="16"/>
                <w:szCs w:val="16"/>
                <w:lang w:eastAsia="it-IT"/>
              </w:rPr>
            </w:pPr>
            <w:r w:rsidRPr="00935481">
              <w:rPr>
                <w:rFonts w:ascii="Verdana" w:eastAsia="Times New Roman" w:hAnsi="Verdana" w:cs="Calibri"/>
                <w:i/>
                <w:iCs/>
                <w:color w:val="808080"/>
                <w:sz w:val="16"/>
                <w:szCs w:val="16"/>
                <w:lang w:eastAsia="it-IT"/>
              </w:rPr>
              <w:t>63,9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5481" w:rsidRPr="00935481" w:rsidRDefault="00935481" w:rsidP="00935481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808080"/>
                <w:sz w:val="16"/>
                <w:szCs w:val="16"/>
                <w:lang w:eastAsia="it-IT"/>
              </w:rPr>
            </w:pPr>
            <w:r w:rsidRPr="00935481">
              <w:rPr>
                <w:rFonts w:ascii="Verdana" w:eastAsia="Times New Roman" w:hAnsi="Verdana" w:cs="Calibri"/>
                <w:i/>
                <w:iCs/>
                <w:color w:val="808080"/>
                <w:sz w:val="16"/>
                <w:szCs w:val="16"/>
                <w:lang w:eastAsia="it-IT"/>
              </w:rPr>
              <w:t>35,3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5481" w:rsidRPr="00935481" w:rsidRDefault="00935481" w:rsidP="00935481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808080"/>
                <w:sz w:val="16"/>
                <w:szCs w:val="16"/>
                <w:lang w:eastAsia="it-IT"/>
              </w:rPr>
            </w:pPr>
            <w:r w:rsidRPr="00935481">
              <w:rPr>
                <w:rFonts w:ascii="Verdana" w:eastAsia="Times New Roman" w:hAnsi="Verdana" w:cs="Calibri"/>
                <w:i/>
                <w:iCs/>
                <w:color w:val="808080"/>
                <w:sz w:val="16"/>
                <w:szCs w:val="16"/>
                <w:lang w:eastAsia="it-IT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5481" w:rsidRPr="00935481" w:rsidRDefault="00935481" w:rsidP="00935481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808080"/>
                <w:sz w:val="16"/>
                <w:szCs w:val="16"/>
                <w:lang w:eastAsia="it-IT"/>
              </w:rPr>
            </w:pPr>
            <w:r w:rsidRPr="00935481">
              <w:rPr>
                <w:rFonts w:ascii="Verdana" w:eastAsia="Times New Roman" w:hAnsi="Verdana" w:cs="Calibri"/>
                <w:i/>
                <w:iCs/>
                <w:color w:val="80808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5481" w:rsidRPr="00935481" w:rsidRDefault="00935481" w:rsidP="00935481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808080"/>
                <w:sz w:val="16"/>
                <w:szCs w:val="16"/>
                <w:lang w:eastAsia="it-IT"/>
              </w:rPr>
            </w:pPr>
            <w:r w:rsidRPr="00935481">
              <w:rPr>
                <w:rFonts w:ascii="Verdana" w:eastAsia="Times New Roman" w:hAnsi="Verdana" w:cs="Calibri"/>
                <w:i/>
                <w:iCs/>
                <w:color w:val="808080"/>
                <w:sz w:val="16"/>
                <w:szCs w:val="16"/>
                <w:lang w:eastAsia="it-IT"/>
              </w:rPr>
              <w:t>100,0</w:t>
            </w:r>
          </w:p>
        </w:tc>
      </w:tr>
    </w:tbl>
    <w:p w:rsidR="00361378" w:rsidRDefault="00361378" w:rsidP="00883A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iCs/>
          <w:color w:val="000000"/>
        </w:rPr>
      </w:pPr>
    </w:p>
    <w:p w:rsidR="009E67A7" w:rsidRDefault="00361378" w:rsidP="00A72472">
      <w:pPr>
        <w:autoSpaceDE w:val="0"/>
        <w:autoSpaceDN w:val="0"/>
        <w:adjustRightInd w:val="0"/>
        <w:spacing w:after="200" w:line="276" w:lineRule="auto"/>
        <w:jc w:val="both"/>
        <w:rPr>
          <w:noProof/>
          <w:lang w:eastAsia="it-IT"/>
        </w:rPr>
      </w:pPr>
      <w:r w:rsidRPr="00361378">
        <w:rPr>
          <w:rFonts w:ascii="Calibri" w:hAnsi="Calibri" w:cs="Calibri"/>
          <w:bCs/>
          <w:iCs/>
          <w:color w:val="000000"/>
        </w:rPr>
        <w:t>Dopo</w:t>
      </w:r>
      <w:r w:rsidRPr="00361378">
        <w:rPr>
          <w:noProof/>
          <w:lang w:eastAsia="it-IT"/>
        </w:rPr>
        <w:t xml:space="preserve"> </w:t>
      </w:r>
      <w:r>
        <w:rPr>
          <w:noProof/>
          <w:lang w:eastAsia="it-IT"/>
        </w:rPr>
        <w:t xml:space="preserve">le tre giornate di distribuzione dei panieri alimentari tenutesi tra il </w:t>
      </w:r>
      <w:r w:rsidR="00471D23">
        <w:rPr>
          <w:noProof/>
          <w:lang w:eastAsia="it-IT"/>
        </w:rPr>
        <w:t>31 Marzo ed il 2 Aprile scorsi, in seguito alle quali</w:t>
      </w:r>
      <w:r>
        <w:rPr>
          <w:noProof/>
          <w:lang w:eastAsia="it-IT"/>
        </w:rPr>
        <w:t xml:space="preserve"> </w:t>
      </w:r>
      <w:r w:rsidR="00471D23">
        <w:rPr>
          <w:noProof/>
          <w:lang w:eastAsia="it-IT"/>
        </w:rPr>
        <w:t xml:space="preserve">si è registrato un picco di affluenza, nel periodo successivo il numero di </w:t>
      </w:r>
      <w:r w:rsidR="000D0920">
        <w:rPr>
          <w:noProof/>
          <w:lang w:eastAsia="it-IT"/>
        </w:rPr>
        <w:t>presenze</w:t>
      </w:r>
      <w:r w:rsidR="0017608B">
        <w:rPr>
          <w:noProof/>
          <w:lang w:eastAsia="it-IT"/>
        </w:rPr>
        <w:t xml:space="preserve"> in Caritas</w:t>
      </w:r>
      <w:r w:rsidR="00471D23">
        <w:rPr>
          <w:noProof/>
          <w:lang w:eastAsia="it-IT"/>
        </w:rPr>
        <w:t xml:space="preserve"> è tornato su valori abituali mantenendosi pressoché costante</w:t>
      </w:r>
      <w:r w:rsidR="00B04E8D">
        <w:rPr>
          <w:noProof/>
          <w:lang w:eastAsia="it-IT"/>
        </w:rPr>
        <w:t xml:space="preserve"> con un lieve aumento nel mese in esame</w:t>
      </w:r>
      <w:r w:rsidR="00471D23">
        <w:rPr>
          <w:noProof/>
          <w:lang w:eastAsia="it-IT"/>
        </w:rPr>
        <w:t>.</w:t>
      </w:r>
    </w:p>
    <w:p w:rsidR="00B04E8D" w:rsidRDefault="00B04E8D" w:rsidP="00A72472">
      <w:pPr>
        <w:autoSpaceDE w:val="0"/>
        <w:autoSpaceDN w:val="0"/>
        <w:adjustRightInd w:val="0"/>
        <w:spacing w:after="200" w:line="276" w:lineRule="auto"/>
        <w:jc w:val="both"/>
        <w:rPr>
          <w:noProof/>
          <w:lang w:eastAsia="it-IT"/>
        </w:rPr>
      </w:pPr>
    </w:p>
    <w:p w:rsidR="00543E46" w:rsidRPr="00B04E8D" w:rsidRDefault="00B04E8D" w:rsidP="00B04E8D">
      <w:pPr>
        <w:autoSpaceDE w:val="0"/>
        <w:autoSpaceDN w:val="0"/>
        <w:adjustRightInd w:val="0"/>
        <w:spacing w:after="200" w:line="276" w:lineRule="auto"/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3930B040" wp14:editId="1BE65D7F">
            <wp:extent cx="4209690" cy="2122098"/>
            <wp:effectExtent l="0" t="0" r="19685" b="12065"/>
            <wp:docPr id="4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7C22" w:rsidRPr="00B75992" w:rsidRDefault="005168CB" w:rsidP="00B75992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I Bisogni</w:t>
      </w:r>
      <w:r w:rsidR="007F243C">
        <w:rPr>
          <w:rFonts w:ascii="Calibri" w:hAnsi="Calibri" w:cs="Calibri"/>
          <w:b/>
          <w:bCs/>
        </w:rPr>
        <w:t xml:space="preserve"> espressi</w:t>
      </w:r>
    </w:p>
    <w:p w:rsidR="00764FAA" w:rsidRDefault="00543E46" w:rsidP="00763DB6">
      <w:p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I bisogni emersi dagli ascolti di </w:t>
      </w:r>
      <w:r w:rsidR="00AC488F">
        <w:rPr>
          <w:rFonts w:ascii="Calibri" w:hAnsi="Calibri" w:cs="Calibri"/>
          <w:bCs/>
        </w:rPr>
        <w:t>dic</w:t>
      </w:r>
      <w:r>
        <w:rPr>
          <w:rFonts w:ascii="Calibri" w:hAnsi="Calibri" w:cs="Calibri"/>
          <w:bCs/>
        </w:rPr>
        <w:t xml:space="preserve">embre </w:t>
      </w:r>
      <w:r w:rsidR="00367A12">
        <w:rPr>
          <w:rFonts w:ascii="Calibri" w:hAnsi="Calibri" w:cs="Calibri"/>
          <w:bCs/>
        </w:rPr>
        <w:t xml:space="preserve">mostrano le consuete </w:t>
      </w:r>
      <w:r w:rsidR="00F53C7C">
        <w:rPr>
          <w:rFonts w:ascii="Calibri" w:hAnsi="Calibri" w:cs="Calibri"/>
          <w:bCs/>
        </w:rPr>
        <w:t>caratteristiche</w:t>
      </w:r>
      <w:r w:rsidR="00367A12">
        <w:rPr>
          <w:rFonts w:ascii="Calibri" w:hAnsi="Calibri" w:cs="Calibri"/>
          <w:bCs/>
        </w:rPr>
        <w:t>:</w:t>
      </w:r>
      <w:r w:rsidR="00DD7815">
        <w:rPr>
          <w:rFonts w:ascii="Calibri" w:hAnsi="Calibri" w:cs="Calibri"/>
          <w:bCs/>
        </w:rPr>
        <w:t xml:space="preserve"> </w:t>
      </w:r>
      <w:r w:rsidR="00367A12">
        <w:rPr>
          <w:rFonts w:ascii="Calibri" w:hAnsi="Calibri" w:cs="Calibri"/>
          <w:bCs/>
        </w:rPr>
        <w:t>la prevalenza dei</w:t>
      </w:r>
      <w:r w:rsidR="00DD7815">
        <w:rPr>
          <w:rFonts w:ascii="Calibri" w:hAnsi="Calibri" w:cs="Calibri"/>
          <w:bCs/>
        </w:rPr>
        <w:t xml:space="preserve"> problemi economici e lavorativi, da</w:t>
      </w:r>
      <w:r w:rsidR="00695C89">
        <w:rPr>
          <w:rFonts w:ascii="Calibri" w:hAnsi="Calibri" w:cs="Calibri"/>
          <w:bCs/>
        </w:rPr>
        <w:t xml:space="preserve"> sempre segnalati in misura </w:t>
      </w:r>
      <w:r w:rsidR="00DD7815">
        <w:rPr>
          <w:rFonts w:ascii="Calibri" w:hAnsi="Calibri" w:cs="Calibri"/>
          <w:bCs/>
        </w:rPr>
        <w:t>consistente sia dagl</w:t>
      </w:r>
      <w:r w:rsidR="00367A12">
        <w:rPr>
          <w:rFonts w:ascii="Calibri" w:hAnsi="Calibri" w:cs="Calibri"/>
          <w:bCs/>
        </w:rPr>
        <w:t>i italiani, sia dagli stranieri; a</w:t>
      </w:r>
      <w:r w:rsidR="00DD7815">
        <w:rPr>
          <w:rFonts w:ascii="Calibri" w:hAnsi="Calibri" w:cs="Calibri"/>
          <w:bCs/>
        </w:rPr>
        <w:t xml:space="preserve"> seguire le problematiche legate alla salute</w:t>
      </w:r>
      <w:r w:rsidR="006015B9">
        <w:rPr>
          <w:rFonts w:ascii="Calibri" w:hAnsi="Calibri" w:cs="Calibri"/>
          <w:bCs/>
        </w:rPr>
        <w:t>,</w:t>
      </w:r>
      <w:r w:rsidR="00DD7815">
        <w:rPr>
          <w:rFonts w:ascii="Calibri" w:hAnsi="Calibri" w:cs="Calibri"/>
          <w:bCs/>
        </w:rPr>
        <w:t xml:space="preserve"> che riprendono ad aumentare </w:t>
      </w:r>
      <w:r w:rsidR="0092493C">
        <w:rPr>
          <w:rFonts w:ascii="Calibri" w:hAnsi="Calibri" w:cs="Calibri"/>
          <w:bCs/>
        </w:rPr>
        <w:t>in relazione al</w:t>
      </w:r>
      <w:r w:rsidR="00F726C4">
        <w:rPr>
          <w:rFonts w:ascii="Calibri" w:hAnsi="Calibri" w:cs="Calibri"/>
          <w:bCs/>
        </w:rPr>
        <w:t>le</w:t>
      </w:r>
      <w:r w:rsidR="00695C89">
        <w:rPr>
          <w:rFonts w:ascii="Calibri" w:hAnsi="Calibri" w:cs="Calibri"/>
          <w:bCs/>
        </w:rPr>
        <w:t xml:space="preserve"> richieste di farmaci ed analisi</w:t>
      </w:r>
      <w:r w:rsidR="00F726C4">
        <w:rPr>
          <w:rFonts w:ascii="Calibri" w:hAnsi="Calibri" w:cs="Calibri"/>
          <w:bCs/>
        </w:rPr>
        <w:t xml:space="preserve"> cliniche</w:t>
      </w:r>
      <w:r w:rsidR="006015B9">
        <w:rPr>
          <w:rFonts w:ascii="Calibri" w:hAnsi="Calibri" w:cs="Calibri"/>
          <w:bCs/>
        </w:rPr>
        <w:t>,</w:t>
      </w:r>
      <w:r w:rsidR="00F726C4">
        <w:rPr>
          <w:rFonts w:ascii="Calibri" w:hAnsi="Calibri" w:cs="Calibri"/>
          <w:bCs/>
        </w:rPr>
        <w:t xml:space="preserve"> </w:t>
      </w:r>
      <w:r w:rsidR="006015B9">
        <w:rPr>
          <w:rFonts w:ascii="Calibri" w:hAnsi="Calibri" w:cs="Calibri"/>
          <w:bCs/>
        </w:rPr>
        <w:t>e</w:t>
      </w:r>
      <w:r w:rsidR="00F726C4">
        <w:rPr>
          <w:rFonts w:ascii="Calibri" w:hAnsi="Calibri" w:cs="Calibri"/>
          <w:bCs/>
        </w:rPr>
        <w:t xml:space="preserve"> i problemi legati a conflitti </w:t>
      </w:r>
      <w:r w:rsidR="006015B9">
        <w:rPr>
          <w:rFonts w:ascii="Calibri" w:hAnsi="Calibri" w:cs="Calibri"/>
          <w:bCs/>
        </w:rPr>
        <w:t>all’interno delle famiglie</w:t>
      </w:r>
      <w:r w:rsidR="00F726C4">
        <w:rPr>
          <w:rFonts w:ascii="Calibri" w:hAnsi="Calibri" w:cs="Calibri"/>
          <w:bCs/>
        </w:rPr>
        <w:t>.</w:t>
      </w:r>
    </w:p>
    <w:p w:rsidR="00A224CD" w:rsidRDefault="006015B9" w:rsidP="006015B9">
      <w:pPr>
        <w:autoSpaceDE w:val="0"/>
        <w:autoSpaceDN w:val="0"/>
        <w:adjustRightInd w:val="0"/>
        <w:spacing w:after="200" w:line="360" w:lineRule="auto"/>
        <w:jc w:val="center"/>
        <w:rPr>
          <w:rFonts w:ascii="Calibri" w:hAnsi="Calibri" w:cs="Calibri"/>
          <w:bCs/>
        </w:rPr>
      </w:pPr>
      <w:r>
        <w:rPr>
          <w:noProof/>
          <w:lang w:eastAsia="it-IT"/>
        </w:rPr>
        <w:drawing>
          <wp:inline distT="0" distB="0" distL="0" distR="0" wp14:anchorId="696224E1" wp14:editId="747DA1B1">
            <wp:extent cx="4917057" cy="3942272"/>
            <wp:effectExtent l="0" t="0" r="17145" b="20320"/>
            <wp:docPr id="5" name="Gra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0A55" w:rsidRDefault="00DE7EED" w:rsidP="0074074D">
      <w:pPr>
        <w:autoSpaceDE w:val="0"/>
        <w:autoSpaceDN w:val="0"/>
        <w:adjustRightInd w:val="0"/>
        <w:spacing w:after="200" w:line="360" w:lineRule="auto"/>
        <w:jc w:val="center"/>
        <w:rPr>
          <w:rFonts w:ascii="Calibri" w:hAnsi="Calibri" w:cs="Calibri"/>
          <w:b/>
          <w:bCs/>
        </w:rPr>
      </w:pPr>
      <w:r w:rsidRPr="00DE7EED">
        <w:rPr>
          <w:rFonts w:ascii="Calibri" w:hAnsi="Calibri" w:cs="Calibri"/>
          <w:b/>
          <w:bCs/>
        </w:rPr>
        <w:t>Gli interventi</w:t>
      </w:r>
    </w:p>
    <w:p w:rsidR="0041633A" w:rsidRDefault="00750020" w:rsidP="00C07D87">
      <w:p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</w:t>
      </w:r>
      <w:r w:rsidR="006A18CD">
        <w:rPr>
          <w:rFonts w:ascii="Calibri" w:hAnsi="Calibri" w:cs="Calibri"/>
          <w:bCs/>
        </w:rPr>
        <w:t>nche a</w:t>
      </w:r>
      <w:r>
        <w:rPr>
          <w:rFonts w:ascii="Calibri" w:hAnsi="Calibri" w:cs="Calibri"/>
          <w:bCs/>
        </w:rPr>
        <w:t xml:space="preserve"> </w:t>
      </w:r>
      <w:r w:rsidR="00297FB3">
        <w:rPr>
          <w:rFonts w:ascii="Calibri" w:hAnsi="Calibri" w:cs="Calibri"/>
          <w:bCs/>
        </w:rPr>
        <w:t>dic</w:t>
      </w:r>
      <w:r>
        <w:rPr>
          <w:rFonts w:ascii="Calibri" w:hAnsi="Calibri" w:cs="Calibri"/>
          <w:bCs/>
        </w:rPr>
        <w:t>embre</w:t>
      </w:r>
      <w:r w:rsidR="000370B4">
        <w:rPr>
          <w:rFonts w:ascii="Calibri" w:hAnsi="Calibri" w:cs="Calibri"/>
          <w:bCs/>
        </w:rPr>
        <w:t xml:space="preserve"> </w:t>
      </w:r>
      <w:r w:rsidR="00C77432">
        <w:rPr>
          <w:rFonts w:ascii="Calibri" w:hAnsi="Calibri" w:cs="Calibri"/>
          <w:bCs/>
        </w:rPr>
        <w:t>gli interventi, c</w:t>
      </w:r>
      <w:r w:rsidR="00D75456">
        <w:rPr>
          <w:rFonts w:ascii="Calibri" w:hAnsi="Calibri" w:cs="Calibri"/>
          <w:bCs/>
        </w:rPr>
        <w:t xml:space="preserve">ome di consueto, </w:t>
      </w:r>
      <w:r w:rsidR="00C77432">
        <w:rPr>
          <w:rFonts w:ascii="Calibri" w:hAnsi="Calibri" w:cs="Calibri"/>
          <w:bCs/>
        </w:rPr>
        <w:t>si polarizzano sul</w:t>
      </w:r>
      <w:r w:rsidR="00390A55">
        <w:rPr>
          <w:rFonts w:ascii="Calibri" w:hAnsi="Calibri" w:cs="Calibri"/>
          <w:bCs/>
        </w:rPr>
        <w:t>l’erogazione di beni e servizi materiali (Mensa e Market).</w:t>
      </w:r>
    </w:p>
    <w:p w:rsidR="00D75DE3" w:rsidRDefault="00BB1F5C" w:rsidP="00C77432">
      <w:pPr>
        <w:autoSpaceDE w:val="0"/>
        <w:autoSpaceDN w:val="0"/>
        <w:adjustRightInd w:val="0"/>
        <w:spacing w:after="200" w:line="360" w:lineRule="auto"/>
        <w:jc w:val="center"/>
        <w:rPr>
          <w:rFonts w:ascii="Calibri" w:hAnsi="Calibri" w:cs="Calibri"/>
          <w:bCs/>
        </w:rPr>
      </w:pPr>
      <w:r>
        <w:rPr>
          <w:noProof/>
          <w:lang w:eastAsia="it-IT"/>
        </w:rPr>
        <w:lastRenderedPageBreak/>
        <w:drawing>
          <wp:inline distT="0" distB="0" distL="0" distR="0" wp14:anchorId="7C3F8828" wp14:editId="2FCAEEF2">
            <wp:extent cx="4572000" cy="2676525"/>
            <wp:effectExtent l="0" t="0" r="19050" b="9525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0382" w:rsidRDefault="0040446A" w:rsidP="00FB038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-</w:t>
      </w:r>
      <w:r w:rsidR="00FB0382">
        <w:rPr>
          <w:rFonts w:ascii="Calibri" w:hAnsi="Calibri" w:cs="Calibri"/>
          <w:b/>
          <w:bCs/>
          <w:i/>
          <w:iCs/>
          <w:sz w:val="24"/>
          <w:szCs w:val="24"/>
        </w:rPr>
        <w:t xml:space="preserve">Servizio Mensa Diocesana </w:t>
      </w:r>
    </w:p>
    <w:p w:rsidR="0049183A" w:rsidRDefault="0045130D" w:rsidP="0009292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</w:rPr>
        <w:t xml:space="preserve">Pasti erogati </w:t>
      </w:r>
      <w:r w:rsidR="00EB143D">
        <w:rPr>
          <w:rFonts w:ascii="Calibri" w:eastAsia="Calibri" w:hAnsi="Calibri" w:cs="Calibri"/>
          <w:i/>
        </w:rPr>
        <w:t>a</w:t>
      </w:r>
      <w:r w:rsidR="002F2B3E">
        <w:rPr>
          <w:rFonts w:ascii="Calibri" w:eastAsia="Calibri" w:hAnsi="Calibri" w:cs="Calibri"/>
          <w:i/>
        </w:rPr>
        <w:t xml:space="preserve"> </w:t>
      </w:r>
      <w:r w:rsidR="006F4A0E">
        <w:rPr>
          <w:rFonts w:ascii="Calibri" w:eastAsia="Calibri" w:hAnsi="Calibri" w:cs="Calibri"/>
          <w:i/>
        </w:rPr>
        <w:t>dic</w:t>
      </w:r>
      <w:r w:rsidR="00EB143D">
        <w:rPr>
          <w:rFonts w:ascii="Calibri" w:eastAsia="Calibri" w:hAnsi="Calibri" w:cs="Calibri"/>
          <w:i/>
        </w:rPr>
        <w:t>embre</w:t>
      </w:r>
    </w:p>
    <w:p w:rsidR="00543E46" w:rsidRDefault="00EB143D" w:rsidP="00472CDF">
      <w:pPr>
        <w:spacing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="002F2B3E">
        <w:rPr>
          <w:rFonts w:ascii="Calibri" w:eastAsia="Calibri" w:hAnsi="Calibri" w:cs="Calibri"/>
        </w:rPr>
        <w:t xml:space="preserve">el mese di </w:t>
      </w:r>
      <w:r w:rsidR="006F4A0E">
        <w:rPr>
          <w:rFonts w:ascii="Calibri" w:eastAsia="Calibri" w:hAnsi="Calibri" w:cs="Calibri"/>
        </w:rPr>
        <w:t>dic</w:t>
      </w:r>
      <w:r>
        <w:rPr>
          <w:rFonts w:ascii="Calibri" w:eastAsia="Calibri" w:hAnsi="Calibri" w:cs="Calibri"/>
        </w:rPr>
        <w:t>embre</w:t>
      </w:r>
      <w:r w:rsidR="002F2B3E">
        <w:rPr>
          <w:rFonts w:ascii="Calibri" w:eastAsia="Calibri" w:hAnsi="Calibri" w:cs="Calibri"/>
        </w:rPr>
        <w:t xml:space="preserve">, </w:t>
      </w:r>
      <w:r w:rsidR="006F4A0E">
        <w:rPr>
          <w:rFonts w:ascii="Calibri" w:eastAsia="Calibri" w:hAnsi="Calibri" w:cs="Calibri"/>
        </w:rPr>
        <w:t>si registra un incremento</w:t>
      </w:r>
      <w:r w:rsidR="002F2B3E">
        <w:rPr>
          <w:rFonts w:ascii="Calibri" w:eastAsia="Calibri" w:hAnsi="Calibri" w:cs="Calibri"/>
        </w:rPr>
        <w:t xml:space="preserve"> </w:t>
      </w:r>
      <w:r w:rsidR="006F4A0E">
        <w:rPr>
          <w:rFonts w:ascii="Calibri" w:eastAsia="Calibri" w:hAnsi="Calibri" w:cs="Calibri"/>
        </w:rPr>
        <w:t xml:space="preserve">del </w:t>
      </w:r>
      <w:r w:rsidR="002F2B3E">
        <w:rPr>
          <w:rFonts w:ascii="Calibri" w:eastAsia="Calibri" w:hAnsi="Calibri" w:cs="Calibri"/>
        </w:rPr>
        <w:t>numero dei pasti</w:t>
      </w:r>
      <w:r w:rsidR="00543E46">
        <w:rPr>
          <w:rFonts w:ascii="Calibri" w:eastAsia="Calibri" w:hAnsi="Calibri" w:cs="Calibri"/>
        </w:rPr>
        <w:t xml:space="preserve"> rispetto al mese precedente</w:t>
      </w:r>
      <w:r w:rsidR="002F2B3E">
        <w:rPr>
          <w:rFonts w:ascii="Calibri" w:eastAsia="Calibri" w:hAnsi="Calibri" w:cs="Calibri"/>
        </w:rPr>
        <w:t xml:space="preserve">: in totale </w:t>
      </w:r>
      <w:r w:rsidRPr="00EB143D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>.</w:t>
      </w:r>
      <w:r w:rsidR="00BB1F5C">
        <w:rPr>
          <w:rFonts w:ascii="Calibri" w:eastAsia="Calibri" w:hAnsi="Calibri" w:cs="Calibri"/>
          <w:b/>
        </w:rPr>
        <w:t>402</w:t>
      </w:r>
      <w:r w:rsidR="00543E46">
        <w:rPr>
          <w:rFonts w:ascii="Calibri" w:eastAsia="Calibri" w:hAnsi="Calibri" w:cs="Calibri"/>
        </w:rPr>
        <w:t xml:space="preserve">, </w:t>
      </w:r>
      <w:r w:rsidR="00BB1F5C">
        <w:rPr>
          <w:rFonts w:ascii="Calibri" w:eastAsia="Calibri" w:hAnsi="Calibri" w:cs="Calibri"/>
        </w:rPr>
        <w:t xml:space="preserve">89 in più </w:t>
      </w:r>
      <w:r>
        <w:rPr>
          <w:rFonts w:ascii="Calibri" w:eastAsia="Calibri" w:hAnsi="Calibri" w:cs="Calibri"/>
        </w:rPr>
        <w:t>sul mese scorso. La</w:t>
      </w:r>
      <w:r w:rsidR="00C77432">
        <w:rPr>
          <w:rFonts w:ascii="Calibri" w:eastAsia="Calibri" w:hAnsi="Calibri" w:cs="Calibri"/>
        </w:rPr>
        <w:t xml:space="preserve"> </w:t>
      </w:r>
      <w:r w:rsidR="0049183A">
        <w:rPr>
          <w:rFonts w:ascii="Calibri" w:eastAsia="Calibri" w:hAnsi="Calibri" w:cs="Calibri"/>
        </w:rPr>
        <w:t xml:space="preserve">media giornaliera </w:t>
      </w:r>
      <w:r w:rsidR="00543E46">
        <w:rPr>
          <w:rFonts w:ascii="Calibri" w:eastAsia="Calibri" w:hAnsi="Calibri" w:cs="Calibri"/>
        </w:rPr>
        <w:t xml:space="preserve">del mese </w:t>
      </w:r>
      <w:r>
        <w:rPr>
          <w:rFonts w:ascii="Calibri" w:eastAsia="Calibri" w:hAnsi="Calibri" w:cs="Calibri"/>
        </w:rPr>
        <w:t>è</w:t>
      </w:r>
      <w:r w:rsidR="002F2B3E">
        <w:rPr>
          <w:rFonts w:ascii="Calibri" w:eastAsia="Calibri" w:hAnsi="Calibri" w:cs="Calibri"/>
        </w:rPr>
        <w:t xml:space="preserve"> pari a </w:t>
      </w:r>
      <w:r w:rsidR="00BB1F5C">
        <w:rPr>
          <w:rFonts w:ascii="Calibri" w:eastAsia="Calibri" w:hAnsi="Calibri" w:cs="Calibri"/>
          <w:b/>
        </w:rPr>
        <w:t>80</w:t>
      </w:r>
      <w:r w:rsidR="002F2B3E">
        <w:rPr>
          <w:rFonts w:ascii="Calibri" w:eastAsia="Calibri" w:hAnsi="Calibri" w:cs="Calibri"/>
        </w:rPr>
        <w:t xml:space="preserve"> pasti</w:t>
      </w:r>
      <w:r w:rsidR="0049183A">
        <w:rPr>
          <w:rFonts w:ascii="Calibri" w:eastAsia="Calibri" w:hAnsi="Calibri" w:cs="Calibri"/>
        </w:rPr>
        <w:t>.</w:t>
      </w:r>
    </w:p>
    <w:p w:rsidR="002D3A8F" w:rsidRDefault="0074074D" w:rsidP="00472CDF">
      <w:pPr>
        <w:spacing w:after="24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Il totale dei pasti erogati da</w:t>
      </w:r>
      <w:r w:rsidR="00CC31EE">
        <w:rPr>
          <w:rFonts w:ascii="Calibri" w:eastAsia="Calibri" w:hAnsi="Calibri" w:cs="Calibri"/>
        </w:rPr>
        <w:t xml:space="preserve">ll’inizio dell’anno è </w:t>
      </w:r>
      <w:r w:rsidR="00EB143D">
        <w:rPr>
          <w:rFonts w:ascii="Calibri" w:eastAsia="Calibri" w:hAnsi="Calibri" w:cs="Calibri"/>
          <w:b/>
        </w:rPr>
        <w:t>2</w:t>
      </w:r>
      <w:r w:rsidR="002D3A8F">
        <w:rPr>
          <w:rFonts w:ascii="Calibri" w:eastAsia="Calibri" w:hAnsi="Calibri" w:cs="Calibri"/>
          <w:b/>
        </w:rPr>
        <w:t>4</w:t>
      </w:r>
      <w:r w:rsidR="00EB143D">
        <w:rPr>
          <w:rFonts w:ascii="Calibri" w:eastAsia="Calibri" w:hAnsi="Calibri" w:cs="Calibri"/>
          <w:b/>
        </w:rPr>
        <w:t>.</w:t>
      </w:r>
      <w:r w:rsidR="002D3A8F">
        <w:rPr>
          <w:rFonts w:ascii="Calibri" w:eastAsia="Calibri" w:hAnsi="Calibri" w:cs="Calibri"/>
          <w:b/>
        </w:rPr>
        <w:t>765.</w:t>
      </w:r>
    </w:p>
    <w:p w:rsidR="00FB0382" w:rsidRPr="00D755D1" w:rsidRDefault="0040446A" w:rsidP="00D755D1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-</w:t>
      </w:r>
      <w:r w:rsidR="00FB0382">
        <w:rPr>
          <w:rFonts w:ascii="Calibri" w:hAnsi="Calibri" w:cs="Calibri"/>
          <w:b/>
          <w:bCs/>
          <w:i/>
          <w:iCs/>
          <w:sz w:val="24"/>
          <w:szCs w:val="24"/>
        </w:rPr>
        <w:t>Buoni Market</w:t>
      </w:r>
    </w:p>
    <w:p w:rsidR="00D54052" w:rsidRDefault="00771BB9" w:rsidP="002A2044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 w:rsidR="00B67F7A">
        <w:rPr>
          <w:rFonts w:ascii="Calibri" w:hAnsi="Calibri" w:cs="Calibri"/>
        </w:rPr>
        <w:t>dic</w:t>
      </w:r>
      <w:r>
        <w:rPr>
          <w:rFonts w:ascii="Calibri" w:hAnsi="Calibri" w:cs="Calibri"/>
        </w:rPr>
        <w:t>embre</w:t>
      </w:r>
      <w:r w:rsidR="004163E1">
        <w:rPr>
          <w:rFonts w:ascii="Calibri" w:hAnsi="Calibri" w:cs="Calibri"/>
        </w:rPr>
        <w:t xml:space="preserve"> </w:t>
      </w:r>
      <w:r w:rsidR="00D44A73">
        <w:rPr>
          <w:rFonts w:ascii="Calibri" w:hAnsi="Calibri" w:cs="Calibri"/>
        </w:rPr>
        <w:t xml:space="preserve">il numero di buoni erogati è stato pari a </w:t>
      </w:r>
      <w:r w:rsidR="00B67F7A">
        <w:rPr>
          <w:rFonts w:ascii="Calibri" w:hAnsi="Calibri" w:cs="Calibri"/>
          <w:b/>
        </w:rPr>
        <w:t>428</w:t>
      </w:r>
      <w:r w:rsidR="004163E1" w:rsidRPr="004163E1">
        <w:rPr>
          <w:rFonts w:ascii="Calibri" w:hAnsi="Calibri" w:cs="Calibri"/>
        </w:rPr>
        <w:t xml:space="preserve">, </w:t>
      </w:r>
      <w:r w:rsidR="00B67F7A">
        <w:rPr>
          <w:rFonts w:ascii="Calibri" w:hAnsi="Calibri" w:cs="Calibri"/>
        </w:rPr>
        <w:t>73 in più rispetto al</w:t>
      </w:r>
      <w:r w:rsidR="004163E1">
        <w:rPr>
          <w:rFonts w:ascii="Calibri" w:hAnsi="Calibri" w:cs="Calibri"/>
        </w:rPr>
        <w:t xml:space="preserve"> mese scorso</w:t>
      </w:r>
      <w:r w:rsidR="00F80FB3" w:rsidRPr="004163E1">
        <w:rPr>
          <w:rFonts w:ascii="Calibri" w:hAnsi="Calibri" w:cs="Calibri"/>
        </w:rPr>
        <w:t>.</w:t>
      </w:r>
    </w:p>
    <w:p w:rsidR="00AA7F9A" w:rsidRDefault="00B67F7A" w:rsidP="002A2044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209</w:t>
      </w:r>
      <w:r w:rsidR="00D23EC7">
        <w:rPr>
          <w:rFonts w:ascii="Calibri" w:hAnsi="Calibri" w:cs="Calibri"/>
        </w:rPr>
        <w:t xml:space="preserve"> </w:t>
      </w:r>
      <w:r w:rsidR="002A2044" w:rsidRPr="002A2044">
        <w:rPr>
          <w:rFonts w:ascii="Calibri" w:hAnsi="Calibri" w:cs="Calibri"/>
        </w:rPr>
        <w:t xml:space="preserve">Buoni sono stati distribuiti </w:t>
      </w:r>
      <w:r w:rsidR="00EA4373">
        <w:rPr>
          <w:rFonts w:ascii="Calibri" w:hAnsi="Calibri" w:cs="Calibri"/>
        </w:rPr>
        <w:t>a</w:t>
      </w:r>
      <w:r w:rsidR="002A2044" w:rsidRPr="002A2044">
        <w:rPr>
          <w:rFonts w:ascii="Calibri" w:hAnsi="Calibri" w:cs="Calibri"/>
        </w:rPr>
        <w:t xml:space="preserve">gli assistiti del </w:t>
      </w:r>
      <w:proofErr w:type="spellStart"/>
      <w:r w:rsidR="002A2044" w:rsidRPr="002A2044">
        <w:rPr>
          <w:rFonts w:ascii="Calibri" w:hAnsi="Calibri" w:cs="Calibri"/>
        </w:rPr>
        <w:t>CdA</w:t>
      </w:r>
      <w:proofErr w:type="spellEnd"/>
      <w:r w:rsidR="002A2044" w:rsidRPr="002A2044">
        <w:rPr>
          <w:rFonts w:ascii="Calibri" w:hAnsi="Calibri" w:cs="Calibri"/>
        </w:rPr>
        <w:t xml:space="preserve"> diocesano e dell’Ufficio Immigrazione, mentre, tra le Ca</w:t>
      </w:r>
      <w:r w:rsidR="001B25E8">
        <w:rPr>
          <w:rFonts w:ascii="Calibri" w:hAnsi="Calibri" w:cs="Calibri"/>
        </w:rPr>
        <w:t xml:space="preserve">ritas Parrocchiali, quelle che </w:t>
      </w:r>
      <w:r w:rsidR="002A2044" w:rsidRPr="002A2044">
        <w:rPr>
          <w:rFonts w:ascii="Calibri" w:hAnsi="Calibri" w:cs="Calibri"/>
        </w:rPr>
        <w:t xml:space="preserve">ne hanno richiesti in numero maggiore sono state </w:t>
      </w:r>
      <w:r w:rsidR="00FD50D0">
        <w:rPr>
          <w:rFonts w:ascii="Calibri" w:hAnsi="Calibri" w:cs="Calibri"/>
        </w:rPr>
        <w:t>le parrocchie cittadine della SS. Addolorata (n°</w:t>
      </w:r>
      <w:r w:rsidR="00DF328E">
        <w:rPr>
          <w:rFonts w:ascii="Calibri" w:hAnsi="Calibri" w:cs="Calibri"/>
        </w:rPr>
        <w:t xml:space="preserve">82) </w:t>
      </w:r>
      <w:r w:rsidR="00FD50D0">
        <w:rPr>
          <w:rFonts w:ascii="Calibri" w:hAnsi="Calibri" w:cs="Calibri"/>
        </w:rPr>
        <w:t xml:space="preserve">di </w:t>
      </w:r>
      <w:r w:rsidR="00E87939">
        <w:rPr>
          <w:rFonts w:ascii="Calibri" w:hAnsi="Calibri" w:cs="Calibri"/>
        </w:rPr>
        <w:t>S</w:t>
      </w:r>
      <w:r w:rsidR="00141958">
        <w:rPr>
          <w:rFonts w:ascii="Calibri" w:hAnsi="Calibri" w:cs="Calibri"/>
        </w:rPr>
        <w:t xml:space="preserve">anta Maria di Costantinopoli </w:t>
      </w:r>
      <w:r w:rsidR="006C26DF">
        <w:rPr>
          <w:rFonts w:ascii="Calibri" w:hAnsi="Calibri" w:cs="Calibri"/>
        </w:rPr>
        <w:t>(n°</w:t>
      </w:r>
      <w:r w:rsidR="00DF328E">
        <w:rPr>
          <w:rFonts w:ascii="Calibri" w:hAnsi="Calibri" w:cs="Calibri"/>
        </w:rPr>
        <w:t>43</w:t>
      </w:r>
      <w:r w:rsidR="006C26DF">
        <w:rPr>
          <w:rFonts w:ascii="Calibri" w:hAnsi="Calibri" w:cs="Calibri"/>
        </w:rPr>
        <w:t>)</w:t>
      </w:r>
      <w:r w:rsidR="00DF328E">
        <w:rPr>
          <w:rFonts w:ascii="Calibri" w:hAnsi="Calibri" w:cs="Calibri"/>
        </w:rPr>
        <w:t xml:space="preserve"> e di Santa Maria degli Angeli </w:t>
      </w:r>
      <w:r w:rsidR="00D44A73">
        <w:rPr>
          <w:rFonts w:ascii="Calibri" w:hAnsi="Calibri" w:cs="Calibri"/>
        </w:rPr>
        <w:t>(n°</w:t>
      </w:r>
      <w:r w:rsidR="00DF328E">
        <w:rPr>
          <w:rFonts w:ascii="Calibri" w:hAnsi="Calibri" w:cs="Calibri"/>
        </w:rPr>
        <w:t>27</w:t>
      </w:r>
      <w:r w:rsidR="00D44A73">
        <w:rPr>
          <w:rFonts w:ascii="Calibri" w:hAnsi="Calibri" w:cs="Calibri"/>
        </w:rPr>
        <w:t>)</w:t>
      </w:r>
      <w:r w:rsidR="002A2044" w:rsidRPr="002A2044">
        <w:rPr>
          <w:rFonts w:ascii="Calibri" w:hAnsi="Calibri" w:cs="Calibri"/>
        </w:rPr>
        <w:t>.</w:t>
      </w:r>
    </w:p>
    <w:p w:rsidR="00543E46" w:rsidRDefault="00543E46" w:rsidP="00543E46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8674F" w:rsidRDefault="00B67F7A" w:rsidP="008C7056">
      <w:pPr>
        <w:rPr>
          <w:rFonts w:ascii="Calibri" w:hAnsi="Calibri" w:cs="Calibri"/>
        </w:rPr>
      </w:pPr>
      <w:r w:rsidRPr="00B67F7A">
        <w:lastRenderedPageBreak/>
        <w:drawing>
          <wp:inline distT="0" distB="0" distL="0" distR="0" wp14:anchorId="1F956DD2" wp14:editId="42A2C2D1">
            <wp:extent cx="6332220" cy="2596752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59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28E" w:rsidRDefault="00DF328E" w:rsidP="008C7056">
      <w:pPr>
        <w:rPr>
          <w:rFonts w:ascii="Calibri" w:hAnsi="Calibri" w:cs="Calibri"/>
          <w:b/>
          <w:bCs/>
          <w:i/>
          <w:sz w:val="24"/>
          <w:szCs w:val="24"/>
        </w:rPr>
      </w:pPr>
    </w:p>
    <w:p w:rsidR="00FB0382" w:rsidRPr="008C7056" w:rsidRDefault="003E4DC7" w:rsidP="008C7056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sz w:val="24"/>
          <w:szCs w:val="24"/>
        </w:rPr>
        <w:t>-</w:t>
      </w:r>
      <w:r w:rsidR="00FB0382" w:rsidRPr="003E4DC7">
        <w:rPr>
          <w:rFonts w:ascii="Calibri" w:hAnsi="Calibri" w:cs="Calibri"/>
          <w:b/>
          <w:bCs/>
          <w:i/>
          <w:sz w:val="24"/>
          <w:szCs w:val="24"/>
        </w:rPr>
        <w:t>Dormitorio “S. Vincenzo de Paoli”</w:t>
      </w:r>
    </w:p>
    <w:p w:rsidR="000014EC" w:rsidRDefault="00773DF0" w:rsidP="0026684B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iCs/>
        </w:rPr>
        <w:t>A dicembre</w:t>
      </w:r>
      <w:r w:rsidR="00691125">
        <w:rPr>
          <w:rFonts w:ascii="Calibri" w:hAnsi="Calibri" w:cs="Calibri"/>
          <w:i/>
          <w:iCs/>
        </w:rPr>
        <w:t xml:space="preserve"> </w:t>
      </w:r>
      <w:r w:rsidR="00691125">
        <w:rPr>
          <w:rFonts w:ascii="Calibri" w:hAnsi="Calibri" w:cs="Calibri"/>
        </w:rPr>
        <w:t>i</w:t>
      </w:r>
      <w:r w:rsidR="00F56131">
        <w:rPr>
          <w:rFonts w:ascii="Calibri" w:hAnsi="Calibri" w:cs="Calibri"/>
        </w:rPr>
        <w:t>l Dormitorio ha avuto</w:t>
      </w:r>
      <w:r w:rsidR="00D755D1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7</w:t>
      </w:r>
      <w:r w:rsidR="00847D45">
        <w:rPr>
          <w:rFonts w:ascii="Calibri" w:hAnsi="Calibri" w:cs="Calibri"/>
          <w:b/>
        </w:rPr>
        <w:t xml:space="preserve"> </w:t>
      </w:r>
      <w:r w:rsidR="00F56131">
        <w:rPr>
          <w:rFonts w:ascii="Calibri" w:hAnsi="Calibri" w:cs="Calibri"/>
        </w:rPr>
        <w:t>nuovi accessi</w:t>
      </w:r>
      <w:r w:rsidR="000014EC">
        <w:rPr>
          <w:rFonts w:ascii="Calibri" w:hAnsi="Calibri" w:cs="Calibri"/>
        </w:rPr>
        <w:t>.</w:t>
      </w:r>
    </w:p>
    <w:p w:rsidR="000014EC" w:rsidRDefault="00ED466D" w:rsidP="0026684B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</w:t>
      </w:r>
      <w:r w:rsidR="00F56131">
        <w:rPr>
          <w:rFonts w:ascii="Calibri" w:hAnsi="Calibri" w:cs="Calibri"/>
        </w:rPr>
        <w:t xml:space="preserve"> totale delle p</w:t>
      </w:r>
      <w:r w:rsidR="00847D45">
        <w:rPr>
          <w:rFonts w:ascii="Calibri" w:hAnsi="Calibri" w:cs="Calibri"/>
        </w:rPr>
        <w:t xml:space="preserve">ersone </w:t>
      </w:r>
      <w:r w:rsidR="00F1524F">
        <w:rPr>
          <w:rFonts w:ascii="Calibri" w:hAnsi="Calibri" w:cs="Calibri"/>
        </w:rPr>
        <w:t>ospitate</w:t>
      </w:r>
      <w:r w:rsidR="00847D45">
        <w:rPr>
          <w:rFonts w:ascii="Calibri" w:hAnsi="Calibri" w:cs="Calibri"/>
        </w:rPr>
        <w:t xml:space="preserve"> è </w:t>
      </w:r>
      <w:r w:rsidR="00AE6F82">
        <w:rPr>
          <w:rFonts w:ascii="Calibri" w:hAnsi="Calibri" w:cs="Calibri"/>
        </w:rPr>
        <w:t>pari a</w:t>
      </w:r>
      <w:r w:rsidR="001C00B2">
        <w:rPr>
          <w:rFonts w:ascii="Calibri" w:hAnsi="Calibri" w:cs="Calibri"/>
        </w:rPr>
        <w:t xml:space="preserve"> </w:t>
      </w:r>
      <w:r w:rsidR="006E068D" w:rsidRPr="00AE6F82">
        <w:rPr>
          <w:rFonts w:ascii="Calibri" w:hAnsi="Calibri" w:cs="Calibri"/>
          <w:b/>
        </w:rPr>
        <w:t>1</w:t>
      </w:r>
      <w:r w:rsidR="00773DF0">
        <w:rPr>
          <w:rFonts w:ascii="Calibri" w:hAnsi="Calibri" w:cs="Calibri"/>
          <w:b/>
        </w:rPr>
        <w:t>3</w:t>
      </w:r>
      <w:r w:rsidR="00577641">
        <w:rPr>
          <w:rFonts w:ascii="Calibri" w:hAnsi="Calibri" w:cs="Calibri"/>
        </w:rPr>
        <w:t xml:space="preserve">, </w:t>
      </w:r>
      <w:r w:rsidR="00AE6F82">
        <w:rPr>
          <w:rFonts w:ascii="Calibri" w:hAnsi="Calibri" w:cs="Calibri"/>
        </w:rPr>
        <w:t>tutti di sesso maschile</w:t>
      </w:r>
      <w:r w:rsidR="00AE6F82" w:rsidRPr="00AE6F82">
        <w:rPr>
          <w:rFonts w:ascii="Calibri" w:hAnsi="Calibri" w:cs="Calibri"/>
        </w:rPr>
        <w:t xml:space="preserve">, in maggioranza </w:t>
      </w:r>
      <w:r w:rsidR="00AE6F82">
        <w:rPr>
          <w:rFonts w:ascii="Calibri" w:hAnsi="Calibri" w:cs="Calibri"/>
        </w:rPr>
        <w:t>di cittadinanza italiana (6 vs 4)</w:t>
      </w:r>
      <w:r w:rsidR="00AE6F82" w:rsidRPr="00AE6F82">
        <w:rPr>
          <w:rFonts w:ascii="Calibri" w:hAnsi="Calibri" w:cs="Calibri"/>
        </w:rPr>
        <w:t>.</w:t>
      </w:r>
    </w:p>
    <w:tbl>
      <w:tblPr>
        <w:tblW w:w="50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00"/>
        <w:gridCol w:w="1540"/>
        <w:gridCol w:w="960"/>
      </w:tblGrid>
      <w:tr w:rsidR="00AE6F82" w:rsidRPr="00AE6F82" w:rsidTr="00AE6F82">
        <w:trPr>
          <w:trHeight w:val="435"/>
          <w:jc w:val="center"/>
        </w:trPr>
        <w:tc>
          <w:tcPr>
            <w:tcW w:w="112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DDDDDD"/>
            <w:vAlign w:val="center"/>
            <w:hideMark/>
          </w:tcPr>
          <w:p w:rsidR="00AE6F82" w:rsidRPr="00AE6F82" w:rsidRDefault="00AE6F82" w:rsidP="00AE6F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222222"/>
                <w:sz w:val="16"/>
                <w:szCs w:val="16"/>
                <w:lang w:eastAsia="it-IT"/>
              </w:rPr>
            </w:pPr>
            <w:r w:rsidRPr="00AE6F82">
              <w:rPr>
                <w:rFonts w:ascii="Verdana" w:eastAsia="Times New Roman" w:hAnsi="Verdana" w:cs="Calibri"/>
                <w:b/>
                <w:bCs/>
                <w:color w:val="222222"/>
                <w:sz w:val="16"/>
                <w:szCs w:val="16"/>
                <w:lang w:eastAsia="it-IT"/>
              </w:rPr>
              <w:t> Sesso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DDDDDD"/>
            <w:vAlign w:val="center"/>
            <w:hideMark/>
          </w:tcPr>
          <w:p w:rsidR="00AE6F82" w:rsidRPr="00AE6F82" w:rsidRDefault="00AE6F82" w:rsidP="00AE6F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222222"/>
                <w:sz w:val="16"/>
                <w:szCs w:val="16"/>
                <w:lang w:eastAsia="it-IT"/>
              </w:rPr>
            </w:pPr>
            <w:r w:rsidRPr="00AE6F82">
              <w:rPr>
                <w:rFonts w:ascii="Verdana" w:eastAsia="Times New Roman" w:hAnsi="Verdana" w:cs="Calibri"/>
                <w:b/>
                <w:bCs/>
                <w:color w:val="222222"/>
                <w:sz w:val="16"/>
                <w:szCs w:val="16"/>
                <w:lang w:eastAsia="it-IT"/>
              </w:rPr>
              <w:t> Cittadinanza Italiana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DDDDDD"/>
            <w:vAlign w:val="center"/>
            <w:hideMark/>
          </w:tcPr>
          <w:p w:rsidR="00AE6F82" w:rsidRPr="00AE6F82" w:rsidRDefault="00AE6F82" w:rsidP="00AE6F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222222"/>
                <w:sz w:val="16"/>
                <w:szCs w:val="16"/>
                <w:lang w:eastAsia="it-IT"/>
              </w:rPr>
            </w:pPr>
            <w:r w:rsidRPr="00AE6F82">
              <w:rPr>
                <w:rFonts w:ascii="Verdana" w:eastAsia="Times New Roman" w:hAnsi="Verdana" w:cs="Calibri"/>
                <w:b/>
                <w:bCs/>
                <w:color w:val="222222"/>
                <w:sz w:val="16"/>
                <w:szCs w:val="16"/>
                <w:lang w:eastAsia="it-IT"/>
              </w:rPr>
              <w:t> Cittadinanza Non Italiana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DDDDDD"/>
            <w:vAlign w:val="center"/>
            <w:hideMark/>
          </w:tcPr>
          <w:p w:rsidR="00AE6F82" w:rsidRPr="00AE6F82" w:rsidRDefault="00AE6F82" w:rsidP="00AE6F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222222"/>
                <w:sz w:val="16"/>
                <w:szCs w:val="16"/>
                <w:lang w:eastAsia="it-IT"/>
              </w:rPr>
            </w:pPr>
            <w:r w:rsidRPr="00AE6F82">
              <w:rPr>
                <w:rFonts w:ascii="Verdana" w:eastAsia="Times New Roman" w:hAnsi="Verdana" w:cs="Calibri"/>
                <w:b/>
                <w:bCs/>
                <w:color w:val="222222"/>
                <w:sz w:val="16"/>
                <w:szCs w:val="16"/>
                <w:lang w:eastAsia="it-IT"/>
              </w:rPr>
              <w:t> Totale</w:t>
            </w:r>
          </w:p>
        </w:tc>
      </w:tr>
      <w:tr w:rsidR="00AE6F82" w:rsidRPr="00AE6F82" w:rsidTr="00AE6F82">
        <w:trPr>
          <w:trHeight w:val="315"/>
          <w:jc w:val="center"/>
        </w:trPr>
        <w:tc>
          <w:tcPr>
            <w:tcW w:w="112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auto"/>
            <w:hideMark/>
          </w:tcPr>
          <w:p w:rsidR="00AE6F82" w:rsidRPr="00AE6F82" w:rsidRDefault="00AE6F82" w:rsidP="00AE6F8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222222"/>
                <w:sz w:val="16"/>
                <w:szCs w:val="16"/>
                <w:lang w:eastAsia="it-IT"/>
              </w:rPr>
            </w:pPr>
            <w:r w:rsidRPr="00AE6F82">
              <w:rPr>
                <w:rFonts w:ascii="Verdana" w:eastAsia="Times New Roman" w:hAnsi="Verdana" w:cs="Calibri"/>
                <w:b/>
                <w:bCs/>
                <w:color w:val="222222"/>
                <w:sz w:val="16"/>
                <w:szCs w:val="16"/>
                <w:lang w:eastAsia="it-IT"/>
              </w:rPr>
              <w:t>Femminile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auto"/>
            <w:vAlign w:val="bottom"/>
            <w:hideMark/>
          </w:tcPr>
          <w:p w:rsidR="00AE6F82" w:rsidRPr="00AE6F82" w:rsidRDefault="00AE6F82" w:rsidP="00AE6F8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</w:pPr>
            <w:r w:rsidRPr="00AE6F82"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auto"/>
            <w:vAlign w:val="bottom"/>
            <w:hideMark/>
          </w:tcPr>
          <w:p w:rsidR="00AE6F82" w:rsidRPr="00AE6F82" w:rsidRDefault="00773DF0" w:rsidP="00AE6F8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auto"/>
            <w:vAlign w:val="bottom"/>
            <w:hideMark/>
          </w:tcPr>
          <w:p w:rsidR="00AE6F82" w:rsidRPr="00AE6F82" w:rsidRDefault="00773DF0" w:rsidP="00AE6F8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  <w:t>1</w:t>
            </w:r>
          </w:p>
        </w:tc>
      </w:tr>
      <w:tr w:rsidR="00AE6F82" w:rsidRPr="00AE6F82" w:rsidTr="00AE6F82">
        <w:trPr>
          <w:trHeight w:val="315"/>
          <w:jc w:val="center"/>
        </w:trPr>
        <w:tc>
          <w:tcPr>
            <w:tcW w:w="112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auto"/>
            <w:hideMark/>
          </w:tcPr>
          <w:p w:rsidR="00AE6F82" w:rsidRPr="00AE6F82" w:rsidRDefault="00AE6F82" w:rsidP="00AE6F8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222222"/>
                <w:sz w:val="16"/>
                <w:szCs w:val="16"/>
                <w:lang w:eastAsia="it-IT"/>
              </w:rPr>
            </w:pPr>
            <w:r w:rsidRPr="00AE6F82">
              <w:rPr>
                <w:rFonts w:ascii="Verdana" w:eastAsia="Times New Roman" w:hAnsi="Verdana" w:cs="Calibri"/>
                <w:b/>
                <w:bCs/>
                <w:color w:val="222222"/>
                <w:sz w:val="16"/>
                <w:szCs w:val="16"/>
                <w:lang w:eastAsia="it-IT"/>
              </w:rPr>
              <w:t>Maschile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auto"/>
            <w:vAlign w:val="bottom"/>
            <w:hideMark/>
          </w:tcPr>
          <w:p w:rsidR="00AE6F82" w:rsidRPr="00AE6F82" w:rsidRDefault="00773DF0" w:rsidP="00AE6F8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auto"/>
            <w:vAlign w:val="bottom"/>
            <w:hideMark/>
          </w:tcPr>
          <w:p w:rsidR="00AE6F82" w:rsidRPr="00AE6F82" w:rsidRDefault="00AE6F82" w:rsidP="00AE6F8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</w:pPr>
            <w:r w:rsidRPr="00AE6F82"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auto"/>
            <w:vAlign w:val="bottom"/>
            <w:hideMark/>
          </w:tcPr>
          <w:p w:rsidR="00AE6F82" w:rsidRPr="00AE6F82" w:rsidRDefault="00773DF0" w:rsidP="00AE6F8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  <w:t>12</w:t>
            </w:r>
          </w:p>
        </w:tc>
      </w:tr>
      <w:tr w:rsidR="00AE6F82" w:rsidRPr="00AE6F82" w:rsidTr="00AE6F82">
        <w:trPr>
          <w:trHeight w:val="315"/>
          <w:jc w:val="center"/>
        </w:trPr>
        <w:tc>
          <w:tcPr>
            <w:tcW w:w="112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DDDDDD"/>
            <w:hideMark/>
          </w:tcPr>
          <w:p w:rsidR="00AE6F82" w:rsidRPr="00AE6F82" w:rsidRDefault="00AE6F82" w:rsidP="00AE6F8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222222"/>
                <w:sz w:val="16"/>
                <w:szCs w:val="16"/>
                <w:lang w:eastAsia="it-IT"/>
              </w:rPr>
            </w:pPr>
            <w:r w:rsidRPr="00AE6F82">
              <w:rPr>
                <w:rFonts w:ascii="Verdana" w:eastAsia="Times New Roman" w:hAnsi="Verdana" w:cs="Calibri"/>
                <w:b/>
                <w:bCs/>
                <w:color w:val="222222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DDDDDD"/>
            <w:vAlign w:val="bottom"/>
            <w:hideMark/>
          </w:tcPr>
          <w:p w:rsidR="00AE6F82" w:rsidRPr="00AE6F82" w:rsidRDefault="00773DF0" w:rsidP="00AE6F8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DDDDDD"/>
            <w:vAlign w:val="bottom"/>
            <w:hideMark/>
          </w:tcPr>
          <w:p w:rsidR="00AE6F82" w:rsidRPr="00AE6F82" w:rsidRDefault="00773DF0" w:rsidP="00AE6F8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DDDDDD"/>
            <w:vAlign w:val="bottom"/>
            <w:hideMark/>
          </w:tcPr>
          <w:p w:rsidR="00AE6F82" w:rsidRPr="00AE6F82" w:rsidRDefault="00AE6F82" w:rsidP="00773DF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</w:pPr>
            <w:r w:rsidRPr="00AE6F82"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  <w:t>1</w:t>
            </w:r>
            <w:r w:rsidR="00773DF0">
              <w:rPr>
                <w:rFonts w:ascii="Verdana" w:eastAsia="Times New Roman" w:hAnsi="Verdana" w:cs="Calibri"/>
                <w:color w:val="222222"/>
                <w:sz w:val="16"/>
                <w:szCs w:val="16"/>
                <w:lang w:eastAsia="it-IT"/>
              </w:rPr>
              <w:t>3</w:t>
            </w:r>
          </w:p>
        </w:tc>
      </w:tr>
    </w:tbl>
    <w:p w:rsidR="00545C0D" w:rsidRDefault="00545C0D" w:rsidP="007A6177">
      <w:pPr>
        <w:jc w:val="both"/>
      </w:pPr>
    </w:p>
    <w:p w:rsidR="00C77391" w:rsidRDefault="00C77391" w:rsidP="007A6177">
      <w:pPr>
        <w:jc w:val="both"/>
      </w:pPr>
      <w:r>
        <w:t>-</w:t>
      </w:r>
      <w:r w:rsidR="00DC7819" w:rsidRPr="00DC7819">
        <w:rPr>
          <w:b/>
          <w:i/>
        </w:rPr>
        <w:t>Sportello dipendenze</w:t>
      </w:r>
      <w:r w:rsidR="00DC7819">
        <w:rPr>
          <w:b/>
          <w:i/>
        </w:rPr>
        <w:t xml:space="preserve"> “Comunità Emmanuel”</w:t>
      </w:r>
    </w:p>
    <w:p w:rsidR="004210EA" w:rsidRDefault="00DB77B3" w:rsidP="00C2410F">
      <w:pPr>
        <w:jc w:val="both"/>
      </w:pPr>
      <w:r>
        <w:t xml:space="preserve">Nel mese di </w:t>
      </w:r>
      <w:r w:rsidR="00B11652">
        <w:t>dic</w:t>
      </w:r>
      <w:r w:rsidR="00771BB9">
        <w:t>embre</w:t>
      </w:r>
      <w:r>
        <w:t xml:space="preserve"> l</w:t>
      </w:r>
      <w:r w:rsidR="004210EA">
        <w:t>o S</w:t>
      </w:r>
      <w:r w:rsidR="0023641A">
        <w:t>portello dipendenze</w:t>
      </w:r>
      <w:r>
        <w:t xml:space="preserve"> </w:t>
      </w:r>
      <w:r w:rsidR="00630337">
        <w:t>ha seguito</w:t>
      </w:r>
      <w:r>
        <w:t xml:space="preserve"> in totale </w:t>
      </w:r>
      <w:r w:rsidR="004210EA">
        <w:t>8 persone, di cui una è una nuova consulenza.</w:t>
      </w:r>
    </w:p>
    <w:p w:rsidR="00F45649" w:rsidRDefault="004210EA" w:rsidP="00C2410F">
      <w:pPr>
        <w:jc w:val="both"/>
      </w:pPr>
      <w:r>
        <w:t>Dall’8 nove</w:t>
      </w:r>
      <w:r w:rsidR="00543E46">
        <w:t>mbre è stato attivato in Cittadella anche il Gruppo di Auto A</w:t>
      </w:r>
      <w:r>
        <w:t xml:space="preserve">iuto nell’ambito delle dipendenze, </w:t>
      </w:r>
      <w:r w:rsidR="00543E46">
        <w:t>“</w:t>
      </w:r>
      <w:proofErr w:type="spellStart"/>
      <w:r w:rsidRPr="004210EA">
        <w:rPr>
          <w:i/>
        </w:rPr>
        <w:t>We</w:t>
      </w:r>
      <w:proofErr w:type="spellEnd"/>
      <w:r w:rsidRPr="004210EA">
        <w:rPr>
          <w:i/>
        </w:rPr>
        <w:t xml:space="preserve"> Can </w:t>
      </w:r>
      <w:proofErr w:type="spellStart"/>
      <w:r w:rsidRPr="004210EA">
        <w:rPr>
          <w:i/>
        </w:rPr>
        <w:t>Toghether</w:t>
      </w:r>
      <w:proofErr w:type="spellEnd"/>
      <w:r w:rsidR="00543E46">
        <w:rPr>
          <w:i/>
        </w:rPr>
        <w:t>”</w:t>
      </w:r>
      <w:r>
        <w:t>, a cui, ad oggi, partecipano 9 persone</w:t>
      </w:r>
      <w:r w:rsidR="00462CF2">
        <w:t>.</w:t>
      </w:r>
    </w:p>
    <w:p w:rsidR="003A3B2E" w:rsidRDefault="003A3B2E" w:rsidP="00E32154"/>
    <w:p w:rsidR="00AF6CDE" w:rsidRDefault="00AF6CDE" w:rsidP="00E32154">
      <w:r>
        <w:t>-</w:t>
      </w:r>
      <w:r w:rsidR="00E32154" w:rsidRPr="00AF6CDE">
        <w:rPr>
          <w:b/>
          <w:i/>
        </w:rPr>
        <w:t xml:space="preserve">Centro Ascolto psicologico </w:t>
      </w:r>
      <w:r w:rsidRPr="00AF6CDE">
        <w:rPr>
          <w:b/>
          <w:i/>
        </w:rPr>
        <w:t>“</w:t>
      </w:r>
      <w:proofErr w:type="spellStart"/>
      <w:r w:rsidRPr="00AF6CDE">
        <w:rPr>
          <w:b/>
          <w:i/>
        </w:rPr>
        <w:t>Effatà</w:t>
      </w:r>
      <w:proofErr w:type="spellEnd"/>
      <w:r w:rsidRPr="00AF6CDE">
        <w:rPr>
          <w:b/>
          <w:i/>
        </w:rPr>
        <w:t>”</w:t>
      </w:r>
    </w:p>
    <w:p w:rsidR="00611783" w:rsidRPr="00B8547C" w:rsidRDefault="00FB4F28" w:rsidP="00325C61">
      <w:pPr>
        <w:jc w:val="both"/>
      </w:pPr>
      <w:r>
        <w:t>I</w:t>
      </w:r>
      <w:r w:rsidR="008F5308">
        <w:t>n totale</w:t>
      </w:r>
      <w:r>
        <w:t>,</w:t>
      </w:r>
      <w:r w:rsidR="008F5308">
        <w:t xml:space="preserve"> ad oggi</w:t>
      </w:r>
      <w:r>
        <w:t>,</w:t>
      </w:r>
      <w:r w:rsidR="008F5308">
        <w:t xml:space="preserve"> </w:t>
      </w:r>
      <w:r>
        <w:t xml:space="preserve">sono </w:t>
      </w:r>
      <w:r w:rsidR="008F5308">
        <w:t>2</w:t>
      </w:r>
      <w:r w:rsidR="00510730">
        <w:t>4</w:t>
      </w:r>
      <w:r w:rsidR="008F5308">
        <w:t xml:space="preserve"> </w:t>
      </w:r>
      <w:r>
        <w:t xml:space="preserve">le </w:t>
      </w:r>
      <w:r w:rsidR="008F5308">
        <w:t xml:space="preserve">persone </w:t>
      </w:r>
      <w:r>
        <w:t>seguite</w:t>
      </w:r>
      <w:r w:rsidR="00B11652">
        <w:t xml:space="preserve"> dal Centro di Ascolto Psicologico</w:t>
      </w:r>
      <w:r>
        <w:t xml:space="preserve">, </w:t>
      </w:r>
      <w:r w:rsidR="008F5308">
        <w:t>in alcuni casi con familiari</w:t>
      </w:r>
      <w:r w:rsidR="008B705B">
        <w:t>.</w:t>
      </w:r>
      <w:r w:rsidR="00081DA7">
        <w:t xml:space="preserve"> </w:t>
      </w:r>
      <w:r w:rsidR="008E423E">
        <w:t>Tutti gli assistiti</w:t>
      </w:r>
      <w:r w:rsidR="00611783">
        <w:t xml:space="preserve"> </w:t>
      </w:r>
      <w:r w:rsidR="00C62A90">
        <w:t>hanno cittadinanza italiana</w:t>
      </w:r>
      <w:r w:rsidR="00611783">
        <w:t>.</w:t>
      </w:r>
    </w:p>
    <w:sectPr w:rsidR="00611783" w:rsidRPr="00B8547C" w:rsidSect="00C32C34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37837"/>
    <w:multiLevelType w:val="hybridMultilevel"/>
    <w:tmpl w:val="EB469B00"/>
    <w:lvl w:ilvl="0" w:tplc="E57C8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82"/>
    <w:rsid w:val="000014EC"/>
    <w:rsid w:val="00001AAD"/>
    <w:rsid w:val="000020B7"/>
    <w:rsid w:val="0001595A"/>
    <w:rsid w:val="00016862"/>
    <w:rsid w:val="0002029F"/>
    <w:rsid w:val="00026AEC"/>
    <w:rsid w:val="000370B4"/>
    <w:rsid w:val="0003731B"/>
    <w:rsid w:val="000447B5"/>
    <w:rsid w:val="00047F64"/>
    <w:rsid w:val="00061DCC"/>
    <w:rsid w:val="0006446A"/>
    <w:rsid w:val="0006531D"/>
    <w:rsid w:val="000720E9"/>
    <w:rsid w:val="00073745"/>
    <w:rsid w:val="00081DA7"/>
    <w:rsid w:val="000A4BAC"/>
    <w:rsid w:val="000C7341"/>
    <w:rsid w:val="000D0920"/>
    <w:rsid w:val="000D27A4"/>
    <w:rsid w:val="000D4D48"/>
    <w:rsid w:val="000D665F"/>
    <w:rsid w:val="000D73FD"/>
    <w:rsid w:val="000E77C5"/>
    <w:rsid w:val="000E7BBE"/>
    <w:rsid w:val="000F7A16"/>
    <w:rsid w:val="0010790F"/>
    <w:rsid w:val="00111BBF"/>
    <w:rsid w:val="001160C7"/>
    <w:rsid w:val="0013181C"/>
    <w:rsid w:val="00134558"/>
    <w:rsid w:val="0013754A"/>
    <w:rsid w:val="00141958"/>
    <w:rsid w:val="001419C6"/>
    <w:rsid w:val="00165A08"/>
    <w:rsid w:val="00172F7A"/>
    <w:rsid w:val="0017608B"/>
    <w:rsid w:val="00177785"/>
    <w:rsid w:val="001818F4"/>
    <w:rsid w:val="0018211F"/>
    <w:rsid w:val="00183BE3"/>
    <w:rsid w:val="00187AD4"/>
    <w:rsid w:val="00191FDF"/>
    <w:rsid w:val="001A4696"/>
    <w:rsid w:val="001A52FE"/>
    <w:rsid w:val="001A5557"/>
    <w:rsid w:val="001B25E8"/>
    <w:rsid w:val="001C00B2"/>
    <w:rsid w:val="001C48D4"/>
    <w:rsid w:val="001D19C1"/>
    <w:rsid w:val="001E10AB"/>
    <w:rsid w:val="001F1DEE"/>
    <w:rsid w:val="001F262C"/>
    <w:rsid w:val="00200B69"/>
    <w:rsid w:val="00204299"/>
    <w:rsid w:val="0020616B"/>
    <w:rsid w:val="002124B2"/>
    <w:rsid w:val="00221D4A"/>
    <w:rsid w:val="00234B2B"/>
    <w:rsid w:val="00235920"/>
    <w:rsid w:val="0023641A"/>
    <w:rsid w:val="002400F4"/>
    <w:rsid w:val="0024652A"/>
    <w:rsid w:val="002607A2"/>
    <w:rsid w:val="00261117"/>
    <w:rsid w:val="00264830"/>
    <w:rsid w:val="0026684B"/>
    <w:rsid w:val="002713D2"/>
    <w:rsid w:val="0027466D"/>
    <w:rsid w:val="00281534"/>
    <w:rsid w:val="00297FB3"/>
    <w:rsid w:val="002A2044"/>
    <w:rsid w:val="002A6001"/>
    <w:rsid w:val="002B7C6E"/>
    <w:rsid w:val="002B7CC2"/>
    <w:rsid w:val="002C0920"/>
    <w:rsid w:val="002D11B3"/>
    <w:rsid w:val="002D18BE"/>
    <w:rsid w:val="002D3A8F"/>
    <w:rsid w:val="002E0BB4"/>
    <w:rsid w:val="002E40B2"/>
    <w:rsid w:val="002E56E7"/>
    <w:rsid w:val="002E696E"/>
    <w:rsid w:val="002F2B3E"/>
    <w:rsid w:val="002F3C3D"/>
    <w:rsid w:val="002F429C"/>
    <w:rsid w:val="002F66A9"/>
    <w:rsid w:val="003011E3"/>
    <w:rsid w:val="00312EDA"/>
    <w:rsid w:val="003231B1"/>
    <w:rsid w:val="00323EEF"/>
    <w:rsid w:val="00324ED4"/>
    <w:rsid w:val="00324FCB"/>
    <w:rsid w:val="00325C61"/>
    <w:rsid w:val="00341DFD"/>
    <w:rsid w:val="00343CA9"/>
    <w:rsid w:val="00353B8F"/>
    <w:rsid w:val="00361193"/>
    <w:rsid w:val="00361378"/>
    <w:rsid w:val="00367A12"/>
    <w:rsid w:val="00371B1B"/>
    <w:rsid w:val="00374DC0"/>
    <w:rsid w:val="00390A55"/>
    <w:rsid w:val="00390ACA"/>
    <w:rsid w:val="00396DDA"/>
    <w:rsid w:val="003A20B3"/>
    <w:rsid w:val="003A3B2E"/>
    <w:rsid w:val="003A5C09"/>
    <w:rsid w:val="003A7128"/>
    <w:rsid w:val="003B680C"/>
    <w:rsid w:val="003B7766"/>
    <w:rsid w:val="003C0A7D"/>
    <w:rsid w:val="003E138F"/>
    <w:rsid w:val="003E2A14"/>
    <w:rsid w:val="003E4DC7"/>
    <w:rsid w:val="003E733D"/>
    <w:rsid w:val="0040446A"/>
    <w:rsid w:val="00407E21"/>
    <w:rsid w:val="0041315D"/>
    <w:rsid w:val="0041633A"/>
    <w:rsid w:val="004163E1"/>
    <w:rsid w:val="004210EA"/>
    <w:rsid w:val="004339F8"/>
    <w:rsid w:val="00437103"/>
    <w:rsid w:val="00441F13"/>
    <w:rsid w:val="00443411"/>
    <w:rsid w:val="0045130D"/>
    <w:rsid w:val="00462CF2"/>
    <w:rsid w:val="00466736"/>
    <w:rsid w:val="00471D23"/>
    <w:rsid w:val="00472CDF"/>
    <w:rsid w:val="00490D40"/>
    <w:rsid w:val="0049183A"/>
    <w:rsid w:val="00494910"/>
    <w:rsid w:val="00497E2F"/>
    <w:rsid w:val="004A4B59"/>
    <w:rsid w:val="004A6B70"/>
    <w:rsid w:val="004A6F14"/>
    <w:rsid w:val="004C2EFA"/>
    <w:rsid w:val="004C58C2"/>
    <w:rsid w:val="004E0206"/>
    <w:rsid w:val="004E734C"/>
    <w:rsid w:val="004F009D"/>
    <w:rsid w:val="00501C99"/>
    <w:rsid w:val="00503109"/>
    <w:rsid w:val="00505D02"/>
    <w:rsid w:val="00510730"/>
    <w:rsid w:val="005126FD"/>
    <w:rsid w:val="00512A0B"/>
    <w:rsid w:val="005168CB"/>
    <w:rsid w:val="00525451"/>
    <w:rsid w:val="00525491"/>
    <w:rsid w:val="00526AF9"/>
    <w:rsid w:val="00530EBB"/>
    <w:rsid w:val="005416D9"/>
    <w:rsid w:val="00543E46"/>
    <w:rsid w:val="00545C0D"/>
    <w:rsid w:val="0055220D"/>
    <w:rsid w:val="00555F3F"/>
    <w:rsid w:val="0056681F"/>
    <w:rsid w:val="005715E3"/>
    <w:rsid w:val="00574F9D"/>
    <w:rsid w:val="00577641"/>
    <w:rsid w:val="0058065B"/>
    <w:rsid w:val="00583C91"/>
    <w:rsid w:val="005B06A7"/>
    <w:rsid w:val="005B2D39"/>
    <w:rsid w:val="005B7C5A"/>
    <w:rsid w:val="005D6FF0"/>
    <w:rsid w:val="005E1DC8"/>
    <w:rsid w:val="005E34EC"/>
    <w:rsid w:val="005F2BEE"/>
    <w:rsid w:val="005F2DF1"/>
    <w:rsid w:val="005F4C36"/>
    <w:rsid w:val="006015B9"/>
    <w:rsid w:val="006023EB"/>
    <w:rsid w:val="00604B3F"/>
    <w:rsid w:val="00611783"/>
    <w:rsid w:val="00622D62"/>
    <w:rsid w:val="00630337"/>
    <w:rsid w:val="00631F89"/>
    <w:rsid w:val="00634B51"/>
    <w:rsid w:val="00645C64"/>
    <w:rsid w:val="00647CB1"/>
    <w:rsid w:val="00652457"/>
    <w:rsid w:val="00653BB4"/>
    <w:rsid w:val="006561B0"/>
    <w:rsid w:val="0066446F"/>
    <w:rsid w:val="00666864"/>
    <w:rsid w:val="00671897"/>
    <w:rsid w:val="006765CC"/>
    <w:rsid w:val="00680DA1"/>
    <w:rsid w:val="00681233"/>
    <w:rsid w:val="006831E1"/>
    <w:rsid w:val="00691125"/>
    <w:rsid w:val="00695C89"/>
    <w:rsid w:val="006A0CC5"/>
    <w:rsid w:val="006A1485"/>
    <w:rsid w:val="006A18CD"/>
    <w:rsid w:val="006A63B0"/>
    <w:rsid w:val="006B2CCB"/>
    <w:rsid w:val="006B3F64"/>
    <w:rsid w:val="006C0E69"/>
    <w:rsid w:val="006C103A"/>
    <w:rsid w:val="006C26DF"/>
    <w:rsid w:val="006C3409"/>
    <w:rsid w:val="006C4EFD"/>
    <w:rsid w:val="006E068D"/>
    <w:rsid w:val="006E370F"/>
    <w:rsid w:val="006E60AC"/>
    <w:rsid w:val="006F4A0E"/>
    <w:rsid w:val="006F6FB0"/>
    <w:rsid w:val="006F78DA"/>
    <w:rsid w:val="00712D56"/>
    <w:rsid w:val="00715844"/>
    <w:rsid w:val="00720EB0"/>
    <w:rsid w:val="00731B51"/>
    <w:rsid w:val="0074074D"/>
    <w:rsid w:val="007415DE"/>
    <w:rsid w:val="00746107"/>
    <w:rsid w:val="00746233"/>
    <w:rsid w:val="00750020"/>
    <w:rsid w:val="007613EA"/>
    <w:rsid w:val="00762260"/>
    <w:rsid w:val="007632A6"/>
    <w:rsid w:val="00763DB6"/>
    <w:rsid w:val="00764FAA"/>
    <w:rsid w:val="007663D2"/>
    <w:rsid w:val="0076647D"/>
    <w:rsid w:val="00767C22"/>
    <w:rsid w:val="00771BB9"/>
    <w:rsid w:val="00773DF0"/>
    <w:rsid w:val="00776A19"/>
    <w:rsid w:val="00781EB4"/>
    <w:rsid w:val="007A07AE"/>
    <w:rsid w:val="007A3CD1"/>
    <w:rsid w:val="007A4C0B"/>
    <w:rsid w:val="007A6177"/>
    <w:rsid w:val="007A6E04"/>
    <w:rsid w:val="007B3E0F"/>
    <w:rsid w:val="007C07E7"/>
    <w:rsid w:val="007C2992"/>
    <w:rsid w:val="007C4EEB"/>
    <w:rsid w:val="007C5B76"/>
    <w:rsid w:val="007C68FE"/>
    <w:rsid w:val="007D6F99"/>
    <w:rsid w:val="007E1937"/>
    <w:rsid w:val="007E1A49"/>
    <w:rsid w:val="007E2189"/>
    <w:rsid w:val="007E5DD7"/>
    <w:rsid w:val="007F243C"/>
    <w:rsid w:val="007F33B2"/>
    <w:rsid w:val="007F4E84"/>
    <w:rsid w:val="007F6B62"/>
    <w:rsid w:val="0081325D"/>
    <w:rsid w:val="00832898"/>
    <w:rsid w:val="008338C6"/>
    <w:rsid w:val="00847D45"/>
    <w:rsid w:val="0085236C"/>
    <w:rsid w:val="00853908"/>
    <w:rsid w:val="00856322"/>
    <w:rsid w:val="0086108A"/>
    <w:rsid w:val="008616EF"/>
    <w:rsid w:val="008647F0"/>
    <w:rsid w:val="0087170B"/>
    <w:rsid w:val="0087608F"/>
    <w:rsid w:val="00877352"/>
    <w:rsid w:val="00877C46"/>
    <w:rsid w:val="00883A1B"/>
    <w:rsid w:val="008845EA"/>
    <w:rsid w:val="008847BC"/>
    <w:rsid w:val="008862A7"/>
    <w:rsid w:val="008A035A"/>
    <w:rsid w:val="008A1E91"/>
    <w:rsid w:val="008B4E2A"/>
    <w:rsid w:val="008B5855"/>
    <w:rsid w:val="008B705B"/>
    <w:rsid w:val="008C7056"/>
    <w:rsid w:val="008D7328"/>
    <w:rsid w:val="008E423E"/>
    <w:rsid w:val="008F046B"/>
    <w:rsid w:val="008F5308"/>
    <w:rsid w:val="009035AA"/>
    <w:rsid w:val="0092493C"/>
    <w:rsid w:val="00926859"/>
    <w:rsid w:val="00926FE7"/>
    <w:rsid w:val="00930B4A"/>
    <w:rsid w:val="00932442"/>
    <w:rsid w:val="00932534"/>
    <w:rsid w:val="00932898"/>
    <w:rsid w:val="00934CC4"/>
    <w:rsid w:val="00935481"/>
    <w:rsid w:val="009376EA"/>
    <w:rsid w:val="00937872"/>
    <w:rsid w:val="00951699"/>
    <w:rsid w:val="0096438F"/>
    <w:rsid w:val="00965CF3"/>
    <w:rsid w:val="009752B0"/>
    <w:rsid w:val="009835A7"/>
    <w:rsid w:val="00984DD4"/>
    <w:rsid w:val="009914F3"/>
    <w:rsid w:val="00992689"/>
    <w:rsid w:val="00994D0F"/>
    <w:rsid w:val="009A19F5"/>
    <w:rsid w:val="009A5E62"/>
    <w:rsid w:val="009A63B3"/>
    <w:rsid w:val="009B69C6"/>
    <w:rsid w:val="009C1469"/>
    <w:rsid w:val="009C53E2"/>
    <w:rsid w:val="009C69AA"/>
    <w:rsid w:val="009D00B7"/>
    <w:rsid w:val="009E15DC"/>
    <w:rsid w:val="009E3FC2"/>
    <w:rsid w:val="009E67A7"/>
    <w:rsid w:val="009F2116"/>
    <w:rsid w:val="00A048A3"/>
    <w:rsid w:val="00A07C3D"/>
    <w:rsid w:val="00A11900"/>
    <w:rsid w:val="00A224CD"/>
    <w:rsid w:val="00A2257B"/>
    <w:rsid w:val="00A3220A"/>
    <w:rsid w:val="00A340F8"/>
    <w:rsid w:val="00A450A1"/>
    <w:rsid w:val="00A451A6"/>
    <w:rsid w:val="00A47BBD"/>
    <w:rsid w:val="00A55012"/>
    <w:rsid w:val="00A664E3"/>
    <w:rsid w:val="00A72472"/>
    <w:rsid w:val="00A746CF"/>
    <w:rsid w:val="00AA571F"/>
    <w:rsid w:val="00AA5BCF"/>
    <w:rsid w:val="00AA7F9A"/>
    <w:rsid w:val="00AB1788"/>
    <w:rsid w:val="00AB1FA1"/>
    <w:rsid w:val="00AC488F"/>
    <w:rsid w:val="00AC759D"/>
    <w:rsid w:val="00AE5EBB"/>
    <w:rsid w:val="00AE65BF"/>
    <w:rsid w:val="00AE6F82"/>
    <w:rsid w:val="00AF6CDE"/>
    <w:rsid w:val="00AF78AB"/>
    <w:rsid w:val="00B04E8D"/>
    <w:rsid w:val="00B11652"/>
    <w:rsid w:val="00B12C80"/>
    <w:rsid w:val="00B12D97"/>
    <w:rsid w:val="00B16518"/>
    <w:rsid w:val="00B17089"/>
    <w:rsid w:val="00B2517E"/>
    <w:rsid w:val="00B26DD9"/>
    <w:rsid w:val="00B31847"/>
    <w:rsid w:val="00B34780"/>
    <w:rsid w:val="00B61ADD"/>
    <w:rsid w:val="00B67F7A"/>
    <w:rsid w:val="00B75992"/>
    <w:rsid w:val="00B810E3"/>
    <w:rsid w:val="00B8547C"/>
    <w:rsid w:val="00B85FEA"/>
    <w:rsid w:val="00B95855"/>
    <w:rsid w:val="00B979F6"/>
    <w:rsid w:val="00BA3F76"/>
    <w:rsid w:val="00BA4BC7"/>
    <w:rsid w:val="00BA5683"/>
    <w:rsid w:val="00BB1F5C"/>
    <w:rsid w:val="00BB6DE4"/>
    <w:rsid w:val="00BB713B"/>
    <w:rsid w:val="00BD3A57"/>
    <w:rsid w:val="00BE13E8"/>
    <w:rsid w:val="00BE755F"/>
    <w:rsid w:val="00BF0A9D"/>
    <w:rsid w:val="00BF0F4D"/>
    <w:rsid w:val="00BF53F4"/>
    <w:rsid w:val="00C03E27"/>
    <w:rsid w:val="00C07D87"/>
    <w:rsid w:val="00C15426"/>
    <w:rsid w:val="00C2257E"/>
    <w:rsid w:val="00C2410F"/>
    <w:rsid w:val="00C24F28"/>
    <w:rsid w:val="00C25402"/>
    <w:rsid w:val="00C25BE0"/>
    <w:rsid w:val="00C32C34"/>
    <w:rsid w:val="00C561AE"/>
    <w:rsid w:val="00C61EEF"/>
    <w:rsid w:val="00C624C2"/>
    <w:rsid w:val="00C62A90"/>
    <w:rsid w:val="00C71918"/>
    <w:rsid w:val="00C740BA"/>
    <w:rsid w:val="00C77391"/>
    <w:rsid w:val="00C77432"/>
    <w:rsid w:val="00C8674F"/>
    <w:rsid w:val="00C87716"/>
    <w:rsid w:val="00C9050C"/>
    <w:rsid w:val="00C937B4"/>
    <w:rsid w:val="00C9488F"/>
    <w:rsid w:val="00C94EC4"/>
    <w:rsid w:val="00CA28CD"/>
    <w:rsid w:val="00CB09D5"/>
    <w:rsid w:val="00CB1257"/>
    <w:rsid w:val="00CB480A"/>
    <w:rsid w:val="00CB78EE"/>
    <w:rsid w:val="00CC31EE"/>
    <w:rsid w:val="00CC5FD9"/>
    <w:rsid w:val="00CC76A3"/>
    <w:rsid w:val="00CD46DC"/>
    <w:rsid w:val="00CD63A1"/>
    <w:rsid w:val="00CD7602"/>
    <w:rsid w:val="00CD7A08"/>
    <w:rsid w:val="00CE2097"/>
    <w:rsid w:val="00CE557F"/>
    <w:rsid w:val="00CF6F80"/>
    <w:rsid w:val="00CF745C"/>
    <w:rsid w:val="00D026DA"/>
    <w:rsid w:val="00D02D3E"/>
    <w:rsid w:val="00D035CE"/>
    <w:rsid w:val="00D078F5"/>
    <w:rsid w:val="00D1400A"/>
    <w:rsid w:val="00D23EC7"/>
    <w:rsid w:val="00D248ED"/>
    <w:rsid w:val="00D24F24"/>
    <w:rsid w:val="00D31AB7"/>
    <w:rsid w:val="00D356C9"/>
    <w:rsid w:val="00D37808"/>
    <w:rsid w:val="00D40E38"/>
    <w:rsid w:val="00D44A73"/>
    <w:rsid w:val="00D50831"/>
    <w:rsid w:val="00D52594"/>
    <w:rsid w:val="00D54052"/>
    <w:rsid w:val="00D628E2"/>
    <w:rsid w:val="00D6297A"/>
    <w:rsid w:val="00D67DB6"/>
    <w:rsid w:val="00D75456"/>
    <w:rsid w:val="00D755D1"/>
    <w:rsid w:val="00D75DE3"/>
    <w:rsid w:val="00D81CFD"/>
    <w:rsid w:val="00D878E9"/>
    <w:rsid w:val="00D90F96"/>
    <w:rsid w:val="00D928A5"/>
    <w:rsid w:val="00DB0AA8"/>
    <w:rsid w:val="00DB12CB"/>
    <w:rsid w:val="00DB51D0"/>
    <w:rsid w:val="00DB77B3"/>
    <w:rsid w:val="00DC7819"/>
    <w:rsid w:val="00DD0763"/>
    <w:rsid w:val="00DD7815"/>
    <w:rsid w:val="00DE397D"/>
    <w:rsid w:val="00DE418E"/>
    <w:rsid w:val="00DE460B"/>
    <w:rsid w:val="00DE5BDB"/>
    <w:rsid w:val="00DE7EED"/>
    <w:rsid w:val="00DF09C2"/>
    <w:rsid w:val="00DF26A4"/>
    <w:rsid w:val="00DF328E"/>
    <w:rsid w:val="00DF4B4F"/>
    <w:rsid w:val="00E00C73"/>
    <w:rsid w:val="00E03913"/>
    <w:rsid w:val="00E15FD6"/>
    <w:rsid w:val="00E30BC5"/>
    <w:rsid w:val="00E3176B"/>
    <w:rsid w:val="00E32154"/>
    <w:rsid w:val="00E3389F"/>
    <w:rsid w:val="00E35371"/>
    <w:rsid w:val="00E42611"/>
    <w:rsid w:val="00E43737"/>
    <w:rsid w:val="00E47CA8"/>
    <w:rsid w:val="00E50FF8"/>
    <w:rsid w:val="00E65486"/>
    <w:rsid w:val="00E7206A"/>
    <w:rsid w:val="00E72176"/>
    <w:rsid w:val="00E73C16"/>
    <w:rsid w:val="00E875F1"/>
    <w:rsid w:val="00E87939"/>
    <w:rsid w:val="00E87CCA"/>
    <w:rsid w:val="00E87F2A"/>
    <w:rsid w:val="00E92A55"/>
    <w:rsid w:val="00EA10D9"/>
    <w:rsid w:val="00EA4373"/>
    <w:rsid w:val="00EB143D"/>
    <w:rsid w:val="00EB2EB8"/>
    <w:rsid w:val="00EB3218"/>
    <w:rsid w:val="00EB5CDC"/>
    <w:rsid w:val="00EB5F24"/>
    <w:rsid w:val="00ED0221"/>
    <w:rsid w:val="00ED466D"/>
    <w:rsid w:val="00ED4943"/>
    <w:rsid w:val="00ED55E2"/>
    <w:rsid w:val="00EE57AE"/>
    <w:rsid w:val="00EE62B6"/>
    <w:rsid w:val="00EF34BF"/>
    <w:rsid w:val="00EF3B50"/>
    <w:rsid w:val="00F0245D"/>
    <w:rsid w:val="00F030A3"/>
    <w:rsid w:val="00F0750A"/>
    <w:rsid w:val="00F10505"/>
    <w:rsid w:val="00F11FD7"/>
    <w:rsid w:val="00F1524F"/>
    <w:rsid w:val="00F2066A"/>
    <w:rsid w:val="00F24648"/>
    <w:rsid w:val="00F328C0"/>
    <w:rsid w:val="00F45649"/>
    <w:rsid w:val="00F50871"/>
    <w:rsid w:val="00F52BEC"/>
    <w:rsid w:val="00F53C7C"/>
    <w:rsid w:val="00F56131"/>
    <w:rsid w:val="00F5673C"/>
    <w:rsid w:val="00F62F29"/>
    <w:rsid w:val="00F642CA"/>
    <w:rsid w:val="00F726C4"/>
    <w:rsid w:val="00F73714"/>
    <w:rsid w:val="00F749A6"/>
    <w:rsid w:val="00F80F2F"/>
    <w:rsid w:val="00F80FB3"/>
    <w:rsid w:val="00F82925"/>
    <w:rsid w:val="00F8297B"/>
    <w:rsid w:val="00F82B9A"/>
    <w:rsid w:val="00F8338C"/>
    <w:rsid w:val="00F860AF"/>
    <w:rsid w:val="00F870B3"/>
    <w:rsid w:val="00F90239"/>
    <w:rsid w:val="00F908E3"/>
    <w:rsid w:val="00F91A64"/>
    <w:rsid w:val="00F957D2"/>
    <w:rsid w:val="00FA3977"/>
    <w:rsid w:val="00FA5DE6"/>
    <w:rsid w:val="00FB0382"/>
    <w:rsid w:val="00FB4F28"/>
    <w:rsid w:val="00FB56B1"/>
    <w:rsid w:val="00FD1C5E"/>
    <w:rsid w:val="00FD2C8E"/>
    <w:rsid w:val="00FD304B"/>
    <w:rsid w:val="00FD50D0"/>
    <w:rsid w:val="00FD7F1F"/>
    <w:rsid w:val="00FE158A"/>
    <w:rsid w:val="00FF22B9"/>
    <w:rsid w:val="00FF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0382"/>
  </w:style>
  <w:style w:type="paragraph" w:styleId="Titolo2">
    <w:name w:val="heading 2"/>
    <w:basedOn w:val="Normale"/>
    <w:link w:val="Titolo2Carattere"/>
    <w:uiPriority w:val="9"/>
    <w:qFormat/>
    <w:rsid w:val="005D6F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38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4C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C2EFA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5D6FF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B85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0382"/>
  </w:style>
  <w:style w:type="paragraph" w:styleId="Titolo2">
    <w:name w:val="heading 2"/>
    <w:basedOn w:val="Normale"/>
    <w:link w:val="Titolo2Carattere"/>
    <w:uiPriority w:val="9"/>
    <w:qFormat/>
    <w:rsid w:val="005D6F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38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4C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C2EFA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5D6FF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B85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400"/>
              <a:t>Andamento affluenza </a:t>
            </a:r>
            <a:r>
              <a:rPr lang="en-US" sz="1400" b="0" i="1"/>
              <a:t>maggio- dicembre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strRef>
              <c:f>Foglio1!$L$15:$L$22</c:f>
              <c:strCache>
                <c:ptCount val="8"/>
                <c:pt idx="0">
                  <c:v>maggio</c:v>
                </c:pt>
                <c:pt idx="1">
                  <c:v>giugno</c:v>
                </c:pt>
                <c:pt idx="2">
                  <c:v>luglio</c:v>
                </c:pt>
                <c:pt idx="3">
                  <c:v>agosto</c:v>
                </c:pt>
                <c:pt idx="4">
                  <c:v>settembre</c:v>
                </c:pt>
                <c:pt idx="5">
                  <c:v>ottobre</c:v>
                </c:pt>
                <c:pt idx="6">
                  <c:v>novembre</c:v>
                </c:pt>
                <c:pt idx="7">
                  <c:v>dicembre</c:v>
                </c:pt>
              </c:strCache>
            </c:strRef>
          </c:cat>
          <c:val>
            <c:numRef>
              <c:f>Foglio1!$M$15:$M$22</c:f>
              <c:numCache>
                <c:formatCode>General</c:formatCode>
                <c:ptCount val="8"/>
                <c:pt idx="0">
                  <c:v>232</c:v>
                </c:pt>
                <c:pt idx="1">
                  <c:v>249</c:v>
                </c:pt>
                <c:pt idx="2">
                  <c:v>202</c:v>
                </c:pt>
                <c:pt idx="3">
                  <c:v>113</c:v>
                </c:pt>
                <c:pt idx="4">
                  <c:v>230</c:v>
                </c:pt>
                <c:pt idx="5">
                  <c:v>246</c:v>
                </c:pt>
                <c:pt idx="6">
                  <c:v>237</c:v>
                </c:pt>
                <c:pt idx="7">
                  <c:v>255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7785344"/>
        <c:axId val="117786880"/>
      </c:lineChart>
      <c:catAx>
        <c:axId val="11778534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it-IT"/>
          </a:p>
        </c:txPr>
        <c:crossAx val="117786880"/>
        <c:crosses val="autoZero"/>
        <c:auto val="1"/>
        <c:lblAlgn val="ctr"/>
        <c:lblOffset val="100"/>
        <c:noMultiLvlLbl val="0"/>
      </c:catAx>
      <c:valAx>
        <c:axId val="1177868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778534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Bisogni espressi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3"/>
              <c:layout>
                <c:manualLayout>
                  <c:x val="-1.4906185054005795E-2"/>
                  <c:y val="-2.927304718285957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3.8514377152670046E-2"/>
                  <c:y val="1.103738518218403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Foglio1!$B$48:$B$58</c:f>
              <c:strCache>
                <c:ptCount val="11"/>
                <c:pt idx="0">
                  <c:v>Problematiche abitative</c:v>
                </c:pt>
                <c:pt idx="1">
                  <c:v>Detenzione e giustizia</c:v>
                </c:pt>
                <c:pt idx="2">
                  <c:v>Dipendenze</c:v>
                </c:pt>
                <c:pt idx="3">
                  <c:v>Problemi familiari</c:v>
                </c:pt>
                <c:pt idx="4">
                  <c:v>Handicap/disabilità</c:v>
                </c:pt>
                <c:pt idx="5">
                  <c:v>Bisogni in migrazione/immigrazione</c:v>
                </c:pt>
                <c:pt idx="6">
                  <c:v>Problemi di istruzione</c:v>
                </c:pt>
                <c:pt idx="7">
                  <c:v>Problemi di occupazione/lavoro</c:v>
                </c:pt>
                <c:pt idx="8">
                  <c:v>Povertà/problemi economici</c:v>
                </c:pt>
                <c:pt idx="9">
                  <c:v>Altri problemi</c:v>
                </c:pt>
                <c:pt idx="10">
                  <c:v>Problemi di salute</c:v>
                </c:pt>
              </c:strCache>
            </c:strRef>
          </c:cat>
          <c:val>
            <c:numRef>
              <c:f>Foglio1!$C$48:$C$58</c:f>
              <c:numCache>
                <c:formatCode>0.0</c:formatCode>
                <c:ptCount val="11"/>
                <c:pt idx="0">
                  <c:v>2.9772329246935203</c:v>
                </c:pt>
                <c:pt idx="1">
                  <c:v>2.8021015761821366</c:v>
                </c:pt>
                <c:pt idx="2">
                  <c:v>3.6777583187390541</c:v>
                </c:pt>
                <c:pt idx="3">
                  <c:v>7.1803852889667246</c:v>
                </c:pt>
                <c:pt idx="4">
                  <c:v>2.6269702276707529</c:v>
                </c:pt>
                <c:pt idx="5">
                  <c:v>0.70052539404553416</c:v>
                </c:pt>
                <c:pt idx="6">
                  <c:v>0.70052539404553416</c:v>
                </c:pt>
                <c:pt idx="7">
                  <c:v>34.851138353765329</c:v>
                </c:pt>
                <c:pt idx="8">
                  <c:v>36.252189141856391</c:v>
                </c:pt>
                <c:pt idx="9">
                  <c:v>1.0507880910683012</c:v>
                </c:pt>
                <c:pt idx="10">
                  <c:v>7.1803852889667246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783840216998901"/>
          <c:y val="0.14216884351740069"/>
          <c:w val="0.30250856189444719"/>
          <c:h val="0.6844926094317485"/>
        </c:manualLayout>
      </c:layout>
      <c:overlay val="0"/>
      <c:txPr>
        <a:bodyPr/>
        <a:lstStyle/>
        <a:p>
          <a:pPr>
            <a:defRPr sz="900"/>
          </a:pPr>
          <a:endParaRPr lang="it-IT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Interventi - </a:t>
            </a:r>
            <a:r>
              <a:rPr lang="en-US" sz="1600" b="0" i="1"/>
              <a:t>dicembre 2021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int!$B$26:$B$31</c:f>
              <c:strCache>
                <c:ptCount val="6"/>
                <c:pt idx="0">
                  <c:v>Alloggio</c:v>
                </c:pt>
                <c:pt idx="1">
                  <c:v>Beni e Servizi materiali/Mensa</c:v>
                </c:pt>
                <c:pt idx="2">
                  <c:v>Orientamento</c:v>
                </c:pt>
                <c:pt idx="3">
                  <c:v>Psico-sociale</c:v>
                </c:pt>
                <c:pt idx="4">
                  <c:v>Sanità</c:v>
                </c:pt>
                <c:pt idx="5">
                  <c:v>Sussidi Economici</c:v>
                </c:pt>
              </c:strCache>
            </c:strRef>
          </c:cat>
          <c:val>
            <c:numRef>
              <c:f>int!$C$26:$C$31</c:f>
              <c:numCache>
                <c:formatCode>0.0</c:formatCode>
                <c:ptCount val="6"/>
                <c:pt idx="0">
                  <c:v>1.1494252873563218</c:v>
                </c:pt>
                <c:pt idx="1">
                  <c:v>85.34482758620689</c:v>
                </c:pt>
                <c:pt idx="2">
                  <c:v>0.86206896551724133</c:v>
                </c:pt>
                <c:pt idx="3">
                  <c:v>9.1954022988505741</c:v>
                </c:pt>
                <c:pt idx="4">
                  <c:v>1.1494252873563218</c:v>
                </c:pt>
                <c:pt idx="5">
                  <c:v>2.2988505747126435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8984960"/>
        <c:axId val="129491328"/>
      </c:barChart>
      <c:catAx>
        <c:axId val="128984960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it-IT"/>
          </a:p>
        </c:txPr>
        <c:crossAx val="129491328"/>
        <c:crosses val="autoZero"/>
        <c:auto val="1"/>
        <c:lblAlgn val="ctr"/>
        <c:lblOffset val="100"/>
        <c:noMultiLvlLbl val="0"/>
      </c:catAx>
      <c:valAx>
        <c:axId val="129491328"/>
        <c:scaling>
          <c:orientation val="minMax"/>
        </c:scaling>
        <c:delete val="1"/>
        <c:axPos val="b"/>
        <c:numFmt formatCode="0.0" sourceLinked="1"/>
        <c:majorTickMark val="out"/>
        <c:minorTickMark val="none"/>
        <c:tickLblPos val="nextTo"/>
        <c:crossAx val="12898496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E8AFB-1704-4219-AEAB-FC9D092E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ciccio formaggio</dc:creator>
  <cp:lastModifiedBy>utente</cp:lastModifiedBy>
  <cp:revision>20</cp:revision>
  <dcterms:created xsi:type="dcterms:W3CDTF">2022-01-04T10:25:00Z</dcterms:created>
  <dcterms:modified xsi:type="dcterms:W3CDTF">2022-01-10T09:49:00Z</dcterms:modified>
</cp:coreProperties>
</file>